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EB" w:rsidRPr="00097CB2" w:rsidRDefault="000156EB" w:rsidP="000156EB">
      <w:pPr>
        <w:pStyle w:val="Caption"/>
        <w:keepNext/>
        <w:spacing w:line="480" w:lineRule="auto"/>
        <w:rPr>
          <w:sz w:val="24"/>
          <w:szCs w:val="24"/>
          <w:vertAlign w:val="baseline"/>
        </w:rPr>
      </w:pPr>
      <w:r w:rsidRPr="00097CB2">
        <w:rPr>
          <w:sz w:val="24"/>
          <w:szCs w:val="24"/>
          <w:vertAlign w:val="baseline"/>
        </w:rPr>
        <w:t xml:space="preserve">Table </w:t>
      </w:r>
      <w:r>
        <w:rPr>
          <w:sz w:val="24"/>
          <w:szCs w:val="24"/>
          <w:vertAlign w:val="baseline"/>
        </w:rPr>
        <w:t>4 (Supplement)</w:t>
      </w:r>
      <w:r w:rsidRPr="00097CB2">
        <w:rPr>
          <w:sz w:val="24"/>
          <w:szCs w:val="24"/>
          <w:vertAlign w:val="baseline"/>
        </w:rPr>
        <w:t xml:space="preserve">: Sensitivity, specificity, positive and negative predictive value of RR, glycaemia and </w:t>
      </w:r>
      <w:smartTag w:uri="urn:schemas-microsoft-com:office:smarttags" w:element="stockticker">
        <w:r w:rsidRPr="00097CB2">
          <w:rPr>
            <w:sz w:val="24"/>
            <w:szCs w:val="24"/>
            <w:vertAlign w:val="baseline"/>
          </w:rPr>
          <w:t>APAC</w:t>
        </w:r>
      </w:smartTag>
      <w:r w:rsidRPr="00097CB2">
        <w:rPr>
          <w:sz w:val="24"/>
          <w:szCs w:val="24"/>
          <w:vertAlign w:val="baseline"/>
        </w:rPr>
        <w:t>HE 2 index in predicting</w:t>
      </w:r>
      <w:r>
        <w:rPr>
          <w:sz w:val="24"/>
          <w:szCs w:val="24"/>
          <w:vertAlign w:val="baseline"/>
        </w:rPr>
        <w:t xml:space="preserve"> outcome</w:t>
      </w:r>
      <w:r w:rsidRPr="00097CB2">
        <w:rPr>
          <w:sz w:val="24"/>
          <w:szCs w:val="24"/>
          <w:vertAlign w:val="baseline"/>
        </w:rPr>
        <w:t xml:space="preserve"> of NIV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1356"/>
        <w:gridCol w:w="1409"/>
        <w:gridCol w:w="1565"/>
        <w:gridCol w:w="1660"/>
        <w:tblGridChange w:id="0">
          <w:tblGrid>
            <w:gridCol w:w="2532"/>
            <w:gridCol w:w="1356"/>
            <w:gridCol w:w="1409"/>
            <w:gridCol w:w="1565"/>
            <w:gridCol w:w="1660"/>
          </w:tblGrid>
        </w:tblGridChange>
      </w:tblGrid>
      <w:tr w:rsidR="000156EB" w:rsidRPr="00843B3E"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Sensitivity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Specificity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 xml:space="preserve">Positive predictive 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value</w:t>
            </w: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 xml:space="preserve">Negative predictive 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value</w:t>
            </w:r>
          </w:p>
        </w:tc>
      </w:tr>
      <w:tr w:rsidR="000156EB" w:rsidRPr="00843B3E">
        <w:trPr>
          <w:trHeight w:val="975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RR&lt;30/minute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i/>
                <w:iCs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n=65; success=61 (94%)</w:t>
            </w: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82%*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75%*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94%*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48%*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</w:p>
        </w:tc>
      </w:tr>
      <w:tr w:rsidR="000156EB" w:rsidRPr="00843B3E">
        <w:trPr>
          <w:trHeight w:val="1200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  <w:lang w:val="it-IT"/>
              </w:rPr>
              <w:t xml:space="preserve">APACHE </w:t>
            </w:r>
            <w:r w:rsidRPr="00843B3E">
              <w:rPr>
                <w:rFonts w:ascii="Verdana" w:eastAsia="SimSun" w:hAnsi="Verdana"/>
                <w:b/>
                <w:bCs/>
                <w:color w:val="000000"/>
                <w:sz w:val="22"/>
              </w:rPr>
              <w:t>II</w:t>
            </w:r>
            <w:r w:rsidRPr="00843B3E">
              <w:rPr>
                <w:rFonts w:eastAsia="SimSun"/>
                <w:sz w:val="22"/>
                <w:lang w:val="it-IT"/>
              </w:rPr>
              <w:t xml:space="preserve"> </w:t>
            </w:r>
            <w:r w:rsidRPr="00843B3E">
              <w:rPr>
                <w:rFonts w:eastAsia="SimSun"/>
                <w:sz w:val="22"/>
              </w:rPr>
              <w:t>≤16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n=56; success=51 (91%)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69%*</w:t>
            </w: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69%*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91%*</w:t>
            </w: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32%*</w:t>
            </w:r>
          </w:p>
        </w:tc>
      </w:tr>
      <w:tr w:rsidR="000156EB" w:rsidRPr="00843B3E">
        <w:trPr>
          <w:trHeight w:val="1275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RBG&lt;7mmol/l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n=44; success=43 (98%)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60%*</w:t>
            </w: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94%*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98%*</w:t>
            </w: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34%*</w:t>
            </w:r>
          </w:p>
        </w:tc>
      </w:tr>
      <w:tr w:rsidR="000156EB" w:rsidRPr="00843B3E">
        <w:trPr>
          <w:trHeight w:val="1260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  <w:lang w:val="it-IT"/>
              </w:rPr>
              <w:t xml:space="preserve">APACHE  </w:t>
            </w:r>
            <w:r w:rsidRPr="00843B3E">
              <w:rPr>
                <w:rFonts w:ascii="Verdana" w:eastAsia="SimSun" w:hAnsi="Verdana"/>
                <w:b/>
                <w:bCs/>
                <w:color w:val="000000"/>
                <w:sz w:val="22"/>
              </w:rPr>
              <w:t>II</w:t>
            </w:r>
            <w:r w:rsidRPr="00843B3E">
              <w:rPr>
                <w:rFonts w:eastAsia="SimSun"/>
                <w:sz w:val="22"/>
              </w:rPr>
              <w:t xml:space="preserve"> ≤16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RBG&lt;7mmol/l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N=29; success=29 (100%)</w:t>
            </w: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76%*</w:t>
            </w: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100%*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100%*</w:t>
            </w: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47%*</w:t>
            </w:r>
          </w:p>
        </w:tc>
      </w:tr>
      <w:tr w:rsidR="000156EB" w:rsidRPr="00843B3E">
        <w:trPr>
          <w:trHeight w:val="375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RR&lt;30/minute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  <w:lang w:val="it-IT"/>
              </w:rPr>
              <w:t xml:space="preserve">APACHE </w:t>
            </w:r>
            <w:r w:rsidRPr="00843B3E">
              <w:rPr>
                <w:rFonts w:ascii="Verdana" w:eastAsia="SimSun" w:hAnsi="Verdana"/>
                <w:b/>
                <w:bCs/>
                <w:color w:val="000000"/>
                <w:sz w:val="22"/>
              </w:rPr>
              <w:t>II</w:t>
            </w:r>
            <w:r w:rsidRPr="00843B3E">
              <w:rPr>
                <w:rFonts w:eastAsia="SimSun"/>
                <w:sz w:val="22"/>
              </w:rPr>
              <w:t xml:space="preserve"> ≤16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N=42; success=41 (98%)</w:t>
            </w: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89%*</w:t>
            </w: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89%*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98%*</w:t>
            </w: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62%*</w:t>
            </w:r>
          </w:p>
        </w:tc>
      </w:tr>
      <w:tr w:rsidR="000156EB" w:rsidRPr="00843B3E">
        <w:trPr>
          <w:trHeight w:val="1650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RR&lt;30/minute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RBG&lt;7mmol/l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i/>
                <w:iCs/>
                <w:sz w:val="22"/>
                <w:lang w:val="it-IT"/>
              </w:rPr>
              <w:t>n=39; success=38(97%)</w:t>
            </w: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79%*</w:t>
            </w: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92%*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97%*</w:t>
            </w: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55%*</w:t>
            </w:r>
          </w:p>
        </w:tc>
      </w:tr>
      <w:tr w:rsidR="000156EB" w:rsidRPr="00843B3E">
        <w:trPr>
          <w:trHeight w:val="2114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RR&lt;30/minute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RBG&lt;7mmol/l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 xml:space="preserve">APACHE </w:t>
            </w:r>
            <w:r w:rsidRPr="00843B3E">
              <w:rPr>
                <w:rFonts w:ascii="Verdana" w:eastAsia="SimSun" w:hAnsi="Verdana"/>
                <w:b/>
                <w:bCs/>
                <w:color w:val="000000"/>
                <w:sz w:val="22"/>
              </w:rPr>
              <w:t>II</w:t>
            </w:r>
            <w:r w:rsidRPr="00843B3E" w:rsidDel="00C548AD">
              <w:rPr>
                <w:rFonts w:eastAsia="SimSun"/>
                <w:sz w:val="22"/>
              </w:rPr>
              <w:t xml:space="preserve"> </w:t>
            </w:r>
            <w:r w:rsidRPr="00843B3E">
              <w:rPr>
                <w:rFonts w:eastAsia="SimSun"/>
                <w:sz w:val="22"/>
              </w:rPr>
              <w:t xml:space="preserve"> ≤16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i/>
                <w:iCs/>
                <w:sz w:val="22"/>
              </w:rPr>
              <w:t>n=25</w:t>
            </w:r>
            <w:proofErr w:type="gramStart"/>
            <w:r w:rsidRPr="00843B3E">
              <w:rPr>
                <w:rFonts w:eastAsia="SimSun"/>
                <w:i/>
                <w:iCs/>
                <w:sz w:val="22"/>
              </w:rPr>
              <w:t>;success</w:t>
            </w:r>
            <w:proofErr w:type="gramEnd"/>
            <w:r w:rsidRPr="00843B3E">
              <w:rPr>
                <w:rFonts w:eastAsia="SimSun"/>
                <w:i/>
                <w:iCs/>
                <w:sz w:val="22"/>
              </w:rPr>
              <w:t>=25(100%)</w:t>
            </w: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86%*</w:t>
            </w: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100%*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100%*</w:t>
            </w: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</w:rPr>
              <w:t>66%*</w:t>
            </w:r>
          </w:p>
        </w:tc>
      </w:tr>
      <w:tr w:rsidR="000156EB" w:rsidRPr="00843B3E">
        <w:trPr>
          <w:trHeight w:val="870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RR≥30/minute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i/>
                <w:iCs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n=25; failure=12(48%)</w:t>
            </w: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75%†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82%†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48%†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94%†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</w:tc>
      </w:tr>
      <w:tr w:rsidR="000156EB" w:rsidRPr="00843B3E">
        <w:trPr>
          <w:trHeight w:val="1095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 xml:space="preserve">APACHE </w:t>
            </w:r>
            <w:r w:rsidRPr="00843B3E">
              <w:rPr>
                <w:rFonts w:ascii="Verdana" w:eastAsia="SimSun" w:hAnsi="Verdana"/>
                <w:b/>
                <w:bCs/>
                <w:color w:val="000000"/>
                <w:sz w:val="22"/>
              </w:rPr>
              <w:t>II</w:t>
            </w:r>
            <w:r w:rsidRPr="00843B3E">
              <w:rPr>
                <w:rFonts w:eastAsia="SimSun"/>
                <w:sz w:val="22"/>
                <w:lang w:val="it-IT"/>
              </w:rPr>
              <w:t xml:space="preserve"> &gt;16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n=34; failure=11 (32%)</w:t>
            </w: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69%†</w:t>
            </w: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69%†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32%†</w:t>
            </w: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91%†</w:t>
            </w:r>
          </w:p>
        </w:tc>
      </w:tr>
      <w:tr w:rsidR="000156EB" w:rsidRPr="00843B3E">
        <w:trPr>
          <w:trHeight w:val="1065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RBG≥7mmol/l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n=44; failure=15 (34%)</w:t>
            </w: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94%†</w:t>
            </w: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60%†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34%†</w:t>
            </w: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98%†</w:t>
            </w:r>
          </w:p>
        </w:tc>
      </w:tr>
      <w:tr w:rsidR="000156EB" w:rsidRPr="00843B3E">
        <w:trPr>
          <w:trHeight w:val="1590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 xml:space="preserve">APACHE </w:t>
            </w:r>
            <w:r w:rsidRPr="000156EB">
              <w:rPr>
                <w:rFonts w:ascii="Verdana" w:eastAsia="SimSun" w:hAnsi="Verdana"/>
                <w:b/>
                <w:bCs/>
                <w:color w:val="000000"/>
                <w:sz w:val="22"/>
                <w:lang w:val="fr-FR"/>
              </w:rPr>
              <w:t>II</w:t>
            </w:r>
            <w:r w:rsidRPr="00843B3E">
              <w:rPr>
                <w:rFonts w:eastAsia="SimSun"/>
                <w:sz w:val="22"/>
                <w:lang w:val="it-IT"/>
              </w:rPr>
              <w:t xml:space="preserve"> &gt;16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RBG≥7mmol/l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n=19; failure=10 (53%)</w:t>
            </w: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100%†</w:t>
            </w: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76%†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53%†</w:t>
            </w: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100%†</w:t>
            </w:r>
          </w:p>
        </w:tc>
      </w:tr>
      <w:tr w:rsidR="000156EB" w:rsidRPr="00843B3E">
        <w:trPr>
          <w:trHeight w:val="1965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RR≥30/minute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 xml:space="preserve">APACHE </w:t>
            </w:r>
            <w:r w:rsidRPr="00843B3E">
              <w:rPr>
                <w:rFonts w:ascii="Verdana" w:eastAsia="SimSun" w:hAnsi="Verdana"/>
                <w:b/>
                <w:bCs/>
                <w:color w:val="000000"/>
                <w:sz w:val="22"/>
              </w:rPr>
              <w:t>II</w:t>
            </w:r>
            <w:r w:rsidRPr="00843B3E">
              <w:rPr>
                <w:rFonts w:eastAsia="SimSun"/>
                <w:sz w:val="22"/>
                <w:lang w:val="it-IT"/>
              </w:rPr>
              <w:t xml:space="preserve"> &gt;16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n=13; failure=8 (62%)</w:t>
            </w: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89%†</w:t>
            </w: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89%†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62%†</w:t>
            </w: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98%†</w:t>
            </w:r>
          </w:p>
        </w:tc>
      </w:tr>
      <w:tr w:rsidR="000156EB" w:rsidRPr="00843B3E">
        <w:trPr>
          <w:trHeight w:val="1845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RR≥30/minute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RBG≥7mmol/l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i/>
                <w:iCs/>
                <w:sz w:val="22"/>
                <w:lang w:val="it-IT"/>
              </w:rPr>
              <w:t>n=22;failure=12(55%)</w:t>
            </w: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92%†</w:t>
            </w: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79%†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92%†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97%†</w:t>
            </w:r>
          </w:p>
        </w:tc>
      </w:tr>
      <w:tr w:rsidR="000156EB" w:rsidRPr="00843B3E">
        <w:trPr>
          <w:trHeight w:val="2498"/>
        </w:trPr>
        <w:tc>
          <w:tcPr>
            <w:tcW w:w="260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i/>
                <w:iCs/>
                <w:sz w:val="22"/>
                <w:lang w:val="it-IT"/>
              </w:rPr>
            </w:pP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RR≥30/minute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RBG≥7mmol/l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 xml:space="preserve">APACHE </w:t>
            </w:r>
            <w:r w:rsidRPr="00843B3E">
              <w:rPr>
                <w:rFonts w:ascii="Verdana" w:eastAsia="SimSun" w:hAnsi="Verdana"/>
                <w:b/>
                <w:bCs/>
                <w:color w:val="000000"/>
                <w:sz w:val="22"/>
              </w:rPr>
              <w:t>II</w:t>
            </w:r>
            <w:r w:rsidRPr="00843B3E" w:rsidDel="00C548AD">
              <w:rPr>
                <w:rFonts w:eastAsia="SimSun"/>
                <w:sz w:val="22"/>
                <w:lang w:val="it-IT"/>
              </w:rPr>
              <w:t xml:space="preserve"> </w:t>
            </w:r>
            <w:r w:rsidRPr="00843B3E">
              <w:rPr>
                <w:rFonts w:eastAsia="SimSun"/>
                <w:sz w:val="22"/>
                <w:lang w:val="it-IT"/>
              </w:rPr>
              <w:t>&gt;16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i/>
                <w:iCs/>
                <w:sz w:val="22"/>
                <w:lang w:val="it-IT"/>
              </w:rPr>
              <w:t>n=12; failure=8(67%)</w:t>
            </w:r>
          </w:p>
        </w:tc>
        <w:tc>
          <w:tcPr>
            <w:tcW w:w="1531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</w:rPr>
            </w:pPr>
            <w:r w:rsidRPr="00843B3E">
              <w:rPr>
                <w:rFonts w:eastAsia="SimSun"/>
                <w:sz w:val="22"/>
                <w:lang w:val="it-IT"/>
              </w:rPr>
              <w:t>100%†</w:t>
            </w: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</w:tc>
        <w:tc>
          <w:tcPr>
            <w:tcW w:w="162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86%†</w:t>
            </w:r>
          </w:p>
        </w:tc>
        <w:tc>
          <w:tcPr>
            <w:tcW w:w="198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67%†</w:t>
            </w:r>
          </w:p>
        </w:tc>
        <w:tc>
          <w:tcPr>
            <w:tcW w:w="2160" w:type="dxa"/>
          </w:tcPr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</w:p>
          <w:p w:rsidR="000156EB" w:rsidRPr="00843B3E" w:rsidRDefault="000156EB" w:rsidP="000156EB">
            <w:pPr>
              <w:spacing w:line="480" w:lineRule="auto"/>
              <w:rPr>
                <w:rFonts w:eastAsia="SimSun"/>
                <w:sz w:val="22"/>
                <w:lang w:val="it-IT"/>
              </w:rPr>
            </w:pPr>
            <w:r w:rsidRPr="00843B3E">
              <w:rPr>
                <w:rFonts w:eastAsia="SimSun"/>
                <w:sz w:val="22"/>
                <w:lang w:val="it-IT"/>
              </w:rPr>
              <w:t>100%†</w:t>
            </w:r>
          </w:p>
        </w:tc>
      </w:tr>
    </w:tbl>
    <w:p w:rsidR="000156EB" w:rsidRPr="004B479E" w:rsidRDefault="000156EB" w:rsidP="000156EB">
      <w:r w:rsidRPr="004B479E">
        <w:t>*denotes success of NIV; †denotes failure of NIV</w:t>
      </w:r>
    </w:p>
    <w:p w:rsidR="000156EB" w:rsidRDefault="000156EB" w:rsidP="000156EB">
      <w:pPr>
        <w:spacing w:line="360" w:lineRule="auto"/>
        <w:jc w:val="both"/>
        <w:rPr>
          <w:rFonts w:ascii="Arial" w:hAnsi="Arial"/>
          <w:b/>
        </w:rPr>
      </w:pPr>
    </w:p>
    <w:p w:rsidR="00235ACF" w:rsidRDefault="00235ACF"/>
    <w:sectPr w:rsidR="00235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stylePaneFormatFilter w:val="3F01"/>
  <w:trackRevisions/>
  <w:defaultTabStop w:val="720"/>
  <w:noPunctuationKerning/>
  <w:characterSpacingControl w:val="doNotCompress"/>
  <w:compat>
    <w:applyBreakingRules/>
    <w:useFELayout/>
  </w:compat>
  <w:rsids>
    <w:rsidRoot w:val="00250DEA"/>
    <w:rsid w:val="000156EB"/>
    <w:rsid w:val="00056610"/>
    <w:rsid w:val="00060F7F"/>
    <w:rsid w:val="00080E97"/>
    <w:rsid w:val="00085E24"/>
    <w:rsid w:val="000974BE"/>
    <w:rsid w:val="001167FF"/>
    <w:rsid w:val="0018735C"/>
    <w:rsid w:val="001E331A"/>
    <w:rsid w:val="00235ACF"/>
    <w:rsid w:val="00250DEA"/>
    <w:rsid w:val="002D38AD"/>
    <w:rsid w:val="0038340F"/>
    <w:rsid w:val="003E5512"/>
    <w:rsid w:val="003F6D11"/>
    <w:rsid w:val="0042495B"/>
    <w:rsid w:val="004B42C4"/>
    <w:rsid w:val="00555A19"/>
    <w:rsid w:val="00607202"/>
    <w:rsid w:val="00624C16"/>
    <w:rsid w:val="0066381F"/>
    <w:rsid w:val="0067462F"/>
    <w:rsid w:val="00694540"/>
    <w:rsid w:val="006C7CD0"/>
    <w:rsid w:val="00716948"/>
    <w:rsid w:val="007420CA"/>
    <w:rsid w:val="00751A73"/>
    <w:rsid w:val="00784A8C"/>
    <w:rsid w:val="007B3F1F"/>
    <w:rsid w:val="007F67C1"/>
    <w:rsid w:val="0084207D"/>
    <w:rsid w:val="00870FB2"/>
    <w:rsid w:val="008B6299"/>
    <w:rsid w:val="00A27764"/>
    <w:rsid w:val="00AA416A"/>
    <w:rsid w:val="00AA4C0B"/>
    <w:rsid w:val="00AD3AE4"/>
    <w:rsid w:val="00AF5572"/>
    <w:rsid w:val="00B30256"/>
    <w:rsid w:val="00B70802"/>
    <w:rsid w:val="00B84377"/>
    <w:rsid w:val="00B91EB0"/>
    <w:rsid w:val="00BA4F85"/>
    <w:rsid w:val="00BD0C63"/>
    <w:rsid w:val="00BD5720"/>
    <w:rsid w:val="00CD0884"/>
    <w:rsid w:val="00CE7A45"/>
    <w:rsid w:val="00CF7628"/>
    <w:rsid w:val="00D2392C"/>
    <w:rsid w:val="00D650CD"/>
    <w:rsid w:val="00DD412B"/>
    <w:rsid w:val="00E16E81"/>
    <w:rsid w:val="00E86200"/>
    <w:rsid w:val="00EC716D"/>
    <w:rsid w:val="00EC736C"/>
    <w:rsid w:val="00EF5B70"/>
    <w:rsid w:val="00F74C18"/>
    <w:rsid w:val="00FA4E9E"/>
    <w:rsid w:val="00FE28A5"/>
    <w:rsid w:val="00F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EB"/>
    <w:rPr>
      <w:rFonts w:eastAsia="Times New Roman"/>
      <w:sz w:val="24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0156EB"/>
    <w:pPr>
      <w:spacing w:before="120" w:after="120"/>
    </w:pPr>
    <w:rPr>
      <w:rFonts w:eastAsia="SimSun"/>
      <w:b/>
      <w:bCs/>
      <w:sz w:val="20"/>
      <w:szCs w:val="20"/>
      <w:vertAlign w:val="superscript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0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4 (Supplement): Sensitivity, specificity, positive and negative predictive value of RR, glycaemia and APACHE 2 index in </vt:lpstr>
    </vt:vector>
  </TitlesOfParts>
  <Company>biz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4 (Supplement): Sensitivity, specificity, positive and negative predictive value of RR, glycaemia and APACHE 2 index in</dc:title>
  <dc:creator>Satarupa Choudhuri</dc:creator>
  <cp:lastModifiedBy>Biswajit Chakrabarti</cp:lastModifiedBy>
  <cp:revision>2</cp:revision>
  <dcterms:created xsi:type="dcterms:W3CDTF">2009-04-29T21:26:00Z</dcterms:created>
  <dcterms:modified xsi:type="dcterms:W3CDTF">2009-04-29T21:26:00Z</dcterms:modified>
</cp:coreProperties>
</file>