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D63E6" w14:textId="77777777" w:rsidR="007840FC" w:rsidRPr="00DA0E47" w:rsidRDefault="000163D1" w:rsidP="00DA0E47">
      <w:pPr>
        <w:widowControl/>
        <w:tabs>
          <w:tab w:val="left" w:pos="4449"/>
        </w:tabs>
        <w:autoSpaceDE/>
        <w:autoSpaceDN/>
        <w:adjustRightInd/>
        <w:spacing w:line="480" w:lineRule="auto"/>
        <w:rPr>
          <w:rFonts w:ascii="Times New Roman" w:hAnsi="Times New Roman" w:cs="Times New Roman"/>
          <w:b/>
          <w:sz w:val="24"/>
          <w:szCs w:val="24"/>
        </w:rPr>
      </w:pPr>
      <w:bookmarkStart w:id="0" w:name="_GoBack"/>
      <w:bookmarkEnd w:id="0"/>
      <w:r w:rsidRPr="00DA0E47">
        <w:rPr>
          <w:rFonts w:ascii="Times New Roman" w:hAnsi="Times New Roman" w:cs="Times New Roman"/>
          <w:b/>
          <w:sz w:val="24"/>
          <w:szCs w:val="24"/>
        </w:rPr>
        <w:t>SUPPLEMENTAL MATERIAL</w:t>
      </w:r>
    </w:p>
    <w:p w14:paraId="52A13E64" w14:textId="77777777" w:rsidR="007840FC" w:rsidRPr="00BA4CB3" w:rsidRDefault="007840FC" w:rsidP="00DA0E47">
      <w:pPr>
        <w:tabs>
          <w:tab w:val="left" w:pos="220"/>
          <w:tab w:val="left" w:pos="720"/>
        </w:tabs>
        <w:spacing w:line="480" w:lineRule="auto"/>
        <w:rPr>
          <w:rFonts w:ascii="Times New Roman" w:hAnsi="Times New Roman" w:cs="Times New Roman"/>
          <w:color w:val="262626"/>
          <w:sz w:val="24"/>
          <w:szCs w:val="24"/>
          <w:lang w:val="en-US" w:eastAsia="en-CA"/>
        </w:rPr>
      </w:pPr>
      <w:r>
        <w:rPr>
          <w:rFonts w:ascii="Times New Roman" w:hAnsi="Times New Roman" w:cs="Times New Roman"/>
          <w:color w:val="262626"/>
          <w:sz w:val="24"/>
          <w:szCs w:val="24"/>
          <w:lang w:val="en-US" w:eastAsia="en-CA"/>
        </w:rPr>
        <w:t xml:space="preserve">Diesel Exhaust Augments Allergen-Induced Lower Airway Inflammation in Allergic Individuals: A Controlled Human Exposure Study </w:t>
      </w:r>
    </w:p>
    <w:p w14:paraId="4547D8CA" w14:textId="77777777" w:rsidR="007840FC" w:rsidRDefault="007840FC" w:rsidP="00DA0E47">
      <w:pPr>
        <w:tabs>
          <w:tab w:val="left" w:pos="220"/>
          <w:tab w:val="left" w:pos="720"/>
        </w:tabs>
        <w:spacing w:line="480" w:lineRule="auto"/>
        <w:rPr>
          <w:rFonts w:ascii="Times New Roman" w:hAnsi="Times New Roman" w:cs="Times New Roman"/>
          <w:color w:val="262626"/>
          <w:sz w:val="24"/>
          <w:szCs w:val="24"/>
          <w:lang w:val="en-US" w:eastAsia="en-CA"/>
        </w:rPr>
      </w:pPr>
      <w:r w:rsidRPr="00BA4CB3">
        <w:rPr>
          <w:rFonts w:ascii="Times New Roman" w:hAnsi="Times New Roman" w:cs="Times New Roman"/>
          <w:color w:val="262626"/>
          <w:sz w:val="24"/>
          <w:szCs w:val="24"/>
          <w:lang w:val="en-US" w:eastAsia="en-CA"/>
        </w:rPr>
        <w:t>C</w:t>
      </w:r>
      <w:r>
        <w:rPr>
          <w:rFonts w:ascii="Times New Roman" w:hAnsi="Times New Roman" w:cs="Times New Roman"/>
          <w:color w:val="262626"/>
          <w:sz w:val="24"/>
          <w:szCs w:val="24"/>
          <w:lang w:val="en-US" w:eastAsia="en-CA"/>
        </w:rPr>
        <w:t xml:space="preserve">hris </w:t>
      </w:r>
      <w:r w:rsidRPr="00BA4CB3">
        <w:rPr>
          <w:rFonts w:ascii="Times New Roman" w:hAnsi="Times New Roman" w:cs="Times New Roman"/>
          <w:color w:val="262626"/>
          <w:sz w:val="24"/>
          <w:szCs w:val="24"/>
          <w:lang w:val="en-US" w:eastAsia="en-CA"/>
        </w:rPr>
        <w:t>C</w:t>
      </w:r>
      <w:r>
        <w:rPr>
          <w:rFonts w:ascii="Times New Roman" w:hAnsi="Times New Roman" w:cs="Times New Roman"/>
          <w:color w:val="262626"/>
          <w:sz w:val="24"/>
          <w:szCs w:val="24"/>
          <w:lang w:val="en-US" w:eastAsia="en-CA"/>
        </w:rPr>
        <w:t>arlsten MD, MPH</w:t>
      </w:r>
      <w:r w:rsidRPr="00E700EA">
        <w:rPr>
          <w:rFonts w:ascii="Times New Roman" w:hAnsi="Times New Roman" w:cs="Times New Roman"/>
          <w:color w:val="000000"/>
          <w:sz w:val="24"/>
          <w:szCs w:val="24"/>
          <w:vertAlign w:val="superscript"/>
          <w:lang w:eastAsia="ja-JP"/>
        </w:rPr>
        <w:t>1</w:t>
      </w:r>
      <w:r>
        <w:rPr>
          <w:rFonts w:ascii="Times New Roman" w:hAnsi="Times New Roman" w:cs="Times New Roman"/>
          <w:color w:val="000000"/>
          <w:sz w:val="24"/>
          <w:szCs w:val="24"/>
          <w:vertAlign w:val="superscript"/>
          <w:lang w:eastAsia="ja-JP"/>
        </w:rPr>
        <w:t xml:space="preserve"> 2</w:t>
      </w:r>
      <w:r w:rsidRPr="00BA4CB3">
        <w:rPr>
          <w:rFonts w:ascii="Times New Roman" w:hAnsi="Times New Roman" w:cs="Times New Roman"/>
          <w:color w:val="262626"/>
          <w:sz w:val="24"/>
          <w:szCs w:val="24"/>
          <w:lang w:val="en-US" w:eastAsia="en-CA"/>
        </w:rPr>
        <w:t xml:space="preserve">, </w:t>
      </w:r>
      <w:r>
        <w:rPr>
          <w:rFonts w:ascii="Times New Roman" w:hAnsi="Times New Roman" w:cs="Times New Roman"/>
          <w:color w:val="262626"/>
          <w:sz w:val="24"/>
          <w:szCs w:val="24"/>
          <w:lang w:val="en-US" w:eastAsia="en-CA"/>
        </w:rPr>
        <w:t xml:space="preserve">Anders </w:t>
      </w:r>
      <w:proofErr w:type="spellStart"/>
      <w:r>
        <w:rPr>
          <w:rFonts w:ascii="Times New Roman" w:hAnsi="Times New Roman" w:cs="Times New Roman"/>
          <w:color w:val="262626"/>
          <w:sz w:val="24"/>
          <w:szCs w:val="24"/>
          <w:lang w:val="en-US" w:eastAsia="en-CA"/>
        </w:rPr>
        <w:t>B</w:t>
      </w:r>
      <w:r w:rsidRPr="00BA4CB3">
        <w:rPr>
          <w:rFonts w:ascii="Times New Roman" w:hAnsi="Times New Roman" w:cs="Times New Roman"/>
          <w:color w:val="262626"/>
          <w:sz w:val="24"/>
          <w:szCs w:val="24"/>
          <w:lang w:val="en-US" w:eastAsia="en-CA"/>
        </w:rPr>
        <w:t>lomberg</w:t>
      </w:r>
      <w:proofErr w:type="spellEnd"/>
      <w:r>
        <w:rPr>
          <w:rFonts w:ascii="Times New Roman" w:hAnsi="Times New Roman" w:cs="Times New Roman"/>
          <w:color w:val="262626"/>
          <w:sz w:val="24"/>
          <w:szCs w:val="24"/>
          <w:lang w:val="en-US" w:eastAsia="en-CA"/>
        </w:rPr>
        <w:t xml:space="preserve"> MD, PhD</w:t>
      </w:r>
      <w:r>
        <w:rPr>
          <w:rFonts w:ascii="Times New Roman" w:hAnsi="Times New Roman" w:cs="Times New Roman"/>
          <w:color w:val="000000"/>
          <w:sz w:val="24"/>
          <w:szCs w:val="24"/>
          <w:vertAlign w:val="superscript"/>
        </w:rPr>
        <w:t>3</w:t>
      </w:r>
      <w:r>
        <w:rPr>
          <w:rFonts w:ascii="Times New Roman" w:hAnsi="Times New Roman" w:cs="Times New Roman"/>
          <w:color w:val="262626"/>
          <w:sz w:val="24"/>
          <w:szCs w:val="24"/>
          <w:lang w:val="en-US" w:eastAsia="en-CA"/>
        </w:rPr>
        <w:t xml:space="preserve">, </w:t>
      </w:r>
      <w:proofErr w:type="spellStart"/>
      <w:r>
        <w:rPr>
          <w:rFonts w:ascii="Times New Roman" w:hAnsi="Times New Roman" w:cs="Times New Roman"/>
          <w:color w:val="262626"/>
          <w:sz w:val="24"/>
          <w:szCs w:val="24"/>
          <w:lang w:val="en-US" w:eastAsia="en-CA"/>
        </w:rPr>
        <w:t>Jasjit</w:t>
      </w:r>
      <w:proofErr w:type="spellEnd"/>
      <w:r>
        <w:rPr>
          <w:rFonts w:ascii="Times New Roman" w:hAnsi="Times New Roman" w:cs="Times New Roman"/>
          <w:color w:val="262626"/>
          <w:sz w:val="24"/>
          <w:szCs w:val="24"/>
          <w:lang w:val="en-US" w:eastAsia="en-CA"/>
        </w:rPr>
        <w:t xml:space="preserve"> </w:t>
      </w:r>
      <w:proofErr w:type="spellStart"/>
      <w:r>
        <w:rPr>
          <w:rFonts w:ascii="Times New Roman" w:hAnsi="Times New Roman" w:cs="Times New Roman"/>
          <w:color w:val="262626"/>
          <w:sz w:val="24"/>
          <w:szCs w:val="24"/>
          <w:lang w:val="en-US" w:eastAsia="en-CA"/>
        </w:rPr>
        <w:t>Mankoo</w:t>
      </w:r>
      <w:proofErr w:type="spellEnd"/>
      <w:r w:rsidRPr="00E700EA">
        <w:rPr>
          <w:rFonts w:ascii="Times New Roman" w:hAnsi="Times New Roman" w:cs="Times New Roman"/>
          <w:color w:val="000000"/>
          <w:sz w:val="24"/>
          <w:szCs w:val="24"/>
          <w:vertAlign w:val="superscript"/>
          <w:lang w:eastAsia="ja-JP"/>
        </w:rPr>
        <w:t>1</w:t>
      </w:r>
      <w:r w:rsidRPr="00BA4CB3">
        <w:rPr>
          <w:rFonts w:ascii="Times New Roman" w:hAnsi="Times New Roman" w:cs="Times New Roman"/>
          <w:color w:val="262626"/>
          <w:sz w:val="24"/>
          <w:szCs w:val="24"/>
          <w:lang w:val="en-US" w:eastAsia="en-CA"/>
        </w:rPr>
        <w:t>, M</w:t>
      </w:r>
      <w:r>
        <w:rPr>
          <w:rFonts w:ascii="Times New Roman" w:hAnsi="Times New Roman" w:cs="Times New Roman"/>
          <w:color w:val="262626"/>
          <w:sz w:val="24"/>
          <w:szCs w:val="24"/>
          <w:lang w:val="en-US" w:eastAsia="en-CA"/>
        </w:rPr>
        <w:t xml:space="preserve">andy </w:t>
      </w:r>
      <w:r w:rsidRPr="00BA4CB3">
        <w:rPr>
          <w:rFonts w:ascii="Times New Roman" w:hAnsi="Times New Roman" w:cs="Times New Roman"/>
          <w:color w:val="262626"/>
          <w:sz w:val="24"/>
          <w:szCs w:val="24"/>
          <w:lang w:val="en-US" w:eastAsia="en-CA"/>
        </w:rPr>
        <w:t>P</w:t>
      </w:r>
      <w:r>
        <w:rPr>
          <w:rFonts w:ascii="Times New Roman" w:hAnsi="Times New Roman" w:cs="Times New Roman"/>
          <w:color w:val="262626"/>
          <w:sz w:val="24"/>
          <w:szCs w:val="24"/>
          <w:lang w:val="en-US" w:eastAsia="en-CA"/>
        </w:rPr>
        <w:t>ui BSc</w:t>
      </w:r>
      <w:r w:rsidRPr="00E700EA">
        <w:rPr>
          <w:rFonts w:ascii="Times New Roman" w:hAnsi="Times New Roman" w:cs="Times New Roman"/>
          <w:color w:val="000000"/>
          <w:sz w:val="24"/>
          <w:szCs w:val="24"/>
          <w:vertAlign w:val="superscript"/>
          <w:lang w:eastAsia="ja-JP"/>
        </w:rPr>
        <w:t>1</w:t>
      </w:r>
      <w:r>
        <w:rPr>
          <w:rFonts w:ascii="Times New Roman" w:hAnsi="Times New Roman" w:cs="Times New Roman"/>
          <w:color w:val="262626"/>
          <w:sz w:val="24"/>
          <w:szCs w:val="24"/>
          <w:lang w:val="en-US" w:eastAsia="en-CA"/>
        </w:rPr>
        <w:t xml:space="preserve">, Thomas </w:t>
      </w:r>
      <w:proofErr w:type="spellStart"/>
      <w:r>
        <w:rPr>
          <w:rFonts w:ascii="Times New Roman" w:hAnsi="Times New Roman" w:cs="Times New Roman"/>
          <w:color w:val="262626"/>
          <w:sz w:val="24"/>
          <w:szCs w:val="24"/>
          <w:lang w:val="en-US" w:eastAsia="en-CA"/>
        </w:rPr>
        <w:t>S</w:t>
      </w:r>
      <w:r w:rsidRPr="00BA4CB3">
        <w:rPr>
          <w:rFonts w:ascii="Times New Roman" w:hAnsi="Times New Roman" w:cs="Times New Roman"/>
          <w:color w:val="262626"/>
          <w:sz w:val="24"/>
          <w:szCs w:val="24"/>
          <w:lang w:val="en-US" w:eastAsia="en-CA"/>
        </w:rPr>
        <w:t>andstrom</w:t>
      </w:r>
      <w:proofErr w:type="spellEnd"/>
      <w:r>
        <w:rPr>
          <w:rFonts w:ascii="Times New Roman" w:hAnsi="Times New Roman" w:cs="Times New Roman"/>
          <w:color w:val="262626"/>
          <w:sz w:val="24"/>
          <w:szCs w:val="24"/>
          <w:lang w:val="en-US" w:eastAsia="en-CA"/>
        </w:rPr>
        <w:t xml:space="preserve"> MD, PhD</w:t>
      </w:r>
      <w:r>
        <w:rPr>
          <w:rFonts w:ascii="Times New Roman" w:hAnsi="Times New Roman" w:cs="Times New Roman"/>
          <w:color w:val="000000"/>
          <w:sz w:val="24"/>
          <w:szCs w:val="24"/>
          <w:vertAlign w:val="superscript"/>
        </w:rPr>
        <w:t>3</w:t>
      </w:r>
      <w:r>
        <w:rPr>
          <w:rFonts w:ascii="Times New Roman" w:hAnsi="Times New Roman" w:cs="Times New Roman"/>
          <w:color w:val="262626"/>
          <w:sz w:val="24"/>
          <w:szCs w:val="24"/>
          <w:lang w:val="en-US" w:eastAsia="en-CA"/>
        </w:rPr>
        <w:t>,</w:t>
      </w:r>
      <w:r w:rsidRPr="00BA4CB3">
        <w:rPr>
          <w:rFonts w:ascii="Times New Roman" w:hAnsi="Times New Roman" w:cs="Times New Roman"/>
          <w:color w:val="262626"/>
          <w:sz w:val="24"/>
          <w:szCs w:val="24"/>
          <w:lang w:val="en-US" w:eastAsia="en-CA"/>
        </w:rPr>
        <w:t xml:space="preserve"> S</w:t>
      </w:r>
      <w:r>
        <w:rPr>
          <w:rFonts w:ascii="Times New Roman" w:hAnsi="Times New Roman" w:cs="Times New Roman"/>
          <w:color w:val="262626"/>
          <w:sz w:val="24"/>
          <w:szCs w:val="24"/>
          <w:lang w:val="en-US" w:eastAsia="en-CA"/>
        </w:rPr>
        <w:t xml:space="preserve">ze Wing </w:t>
      </w:r>
      <w:r w:rsidRPr="00BA4CB3">
        <w:rPr>
          <w:rFonts w:ascii="Times New Roman" w:hAnsi="Times New Roman" w:cs="Times New Roman"/>
          <w:color w:val="262626"/>
          <w:sz w:val="24"/>
          <w:szCs w:val="24"/>
          <w:lang w:val="en-US" w:eastAsia="en-CA"/>
        </w:rPr>
        <w:t>W</w:t>
      </w:r>
      <w:r>
        <w:rPr>
          <w:rFonts w:ascii="Times New Roman" w:hAnsi="Times New Roman" w:cs="Times New Roman"/>
          <w:color w:val="262626"/>
          <w:sz w:val="24"/>
          <w:szCs w:val="24"/>
          <w:lang w:val="en-US" w:eastAsia="en-CA"/>
        </w:rPr>
        <w:t>ong BSc</w:t>
      </w:r>
      <w:r w:rsidRPr="00E700EA">
        <w:rPr>
          <w:rFonts w:ascii="Times New Roman" w:hAnsi="Times New Roman" w:cs="Times New Roman"/>
          <w:color w:val="000000"/>
          <w:sz w:val="24"/>
          <w:szCs w:val="24"/>
          <w:vertAlign w:val="superscript"/>
          <w:lang w:eastAsia="ja-JP"/>
        </w:rPr>
        <w:t>1</w:t>
      </w:r>
      <w:r w:rsidRPr="00BA4CB3">
        <w:rPr>
          <w:rFonts w:ascii="Times New Roman" w:hAnsi="Times New Roman" w:cs="Times New Roman"/>
          <w:color w:val="262626"/>
          <w:sz w:val="24"/>
          <w:szCs w:val="24"/>
          <w:lang w:val="en-US" w:eastAsia="en-CA"/>
        </w:rPr>
        <w:t xml:space="preserve">, </w:t>
      </w:r>
      <w:r>
        <w:rPr>
          <w:rFonts w:ascii="Times New Roman" w:hAnsi="Times New Roman" w:cs="Times New Roman"/>
          <w:color w:val="262626"/>
          <w:sz w:val="24"/>
          <w:szCs w:val="24"/>
          <w:lang w:val="en-US" w:eastAsia="en-CA"/>
        </w:rPr>
        <w:t>Neil Alexis PhD, MHS</w:t>
      </w:r>
      <w:r>
        <w:rPr>
          <w:rFonts w:ascii="Times New Roman" w:hAnsi="Times New Roman" w:cs="Times New Roman"/>
          <w:color w:val="000000"/>
          <w:sz w:val="24"/>
          <w:szCs w:val="24"/>
          <w:vertAlign w:val="superscript"/>
          <w:lang w:eastAsia="ja-JP"/>
        </w:rPr>
        <w:t>4</w:t>
      </w:r>
      <w:r>
        <w:rPr>
          <w:rFonts w:ascii="Times New Roman" w:hAnsi="Times New Roman" w:cs="Times New Roman"/>
          <w:color w:val="262626"/>
          <w:sz w:val="24"/>
          <w:szCs w:val="24"/>
          <w:lang w:val="en-US" w:eastAsia="en-CA"/>
        </w:rPr>
        <w:t xml:space="preserve">, </w:t>
      </w:r>
      <w:r w:rsidRPr="00BA4CB3">
        <w:rPr>
          <w:rFonts w:ascii="Times New Roman" w:hAnsi="Times New Roman" w:cs="Times New Roman"/>
          <w:color w:val="262626"/>
          <w:sz w:val="24"/>
          <w:szCs w:val="24"/>
          <w:lang w:val="en-US" w:eastAsia="en-CA"/>
        </w:rPr>
        <w:t>J</w:t>
      </w:r>
      <w:r>
        <w:rPr>
          <w:rFonts w:ascii="Times New Roman" w:hAnsi="Times New Roman" w:cs="Times New Roman"/>
          <w:color w:val="262626"/>
          <w:sz w:val="24"/>
          <w:szCs w:val="24"/>
          <w:lang w:val="en-US" w:eastAsia="en-CA"/>
        </w:rPr>
        <w:t xml:space="preserve">eremy </w:t>
      </w:r>
      <w:r w:rsidRPr="00BA4CB3">
        <w:rPr>
          <w:rFonts w:ascii="Times New Roman" w:hAnsi="Times New Roman" w:cs="Times New Roman"/>
          <w:color w:val="262626"/>
          <w:sz w:val="24"/>
          <w:szCs w:val="24"/>
          <w:lang w:val="en-US" w:eastAsia="en-CA"/>
        </w:rPr>
        <w:t>H</w:t>
      </w:r>
      <w:r>
        <w:rPr>
          <w:rFonts w:ascii="Times New Roman" w:hAnsi="Times New Roman" w:cs="Times New Roman"/>
          <w:color w:val="262626"/>
          <w:sz w:val="24"/>
          <w:szCs w:val="24"/>
          <w:lang w:val="en-US" w:eastAsia="en-CA"/>
        </w:rPr>
        <w:t>irota PhD</w:t>
      </w:r>
      <w:r w:rsidRPr="00E700EA">
        <w:rPr>
          <w:rFonts w:ascii="Times New Roman" w:hAnsi="Times New Roman" w:cs="Times New Roman"/>
          <w:color w:val="000000"/>
          <w:sz w:val="24"/>
          <w:szCs w:val="24"/>
          <w:vertAlign w:val="superscript"/>
          <w:lang w:eastAsia="ja-JP"/>
        </w:rPr>
        <w:t>1</w:t>
      </w:r>
      <w:r>
        <w:rPr>
          <w:rFonts w:ascii="Times New Roman" w:hAnsi="Times New Roman" w:cs="Times New Roman"/>
          <w:color w:val="000000"/>
          <w:sz w:val="24"/>
          <w:szCs w:val="24"/>
          <w:vertAlign w:val="superscript"/>
          <w:lang w:eastAsia="ja-JP"/>
        </w:rPr>
        <w:t xml:space="preserve"> 2</w:t>
      </w:r>
    </w:p>
    <w:p w14:paraId="7054A29C" w14:textId="77777777" w:rsidR="007840FC" w:rsidRDefault="007840FC" w:rsidP="00DA0E47">
      <w:pPr>
        <w:tabs>
          <w:tab w:val="left" w:pos="220"/>
          <w:tab w:val="left" w:pos="720"/>
        </w:tabs>
        <w:spacing w:line="480" w:lineRule="auto"/>
        <w:rPr>
          <w:rFonts w:ascii="Times New Roman" w:hAnsi="Times New Roman" w:cs="Times New Roman"/>
          <w:color w:val="262626"/>
          <w:sz w:val="24"/>
          <w:szCs w:val="24"/>
          <w:lang w:val="en-US" w:eastAsia="en-CA"/>
        </w:rPr>
      </w:pPr>
    </w:p>
    <w:p w14:paraId="79EF23B8" w14:textId="77777777" w:rsidR="007840FC" w:rsidRDefault="007840FC" w:rsidP="00DA0E47">
      <w:pPr>
        <w:spacing w:line="480" w:lineRule="auto"/>
        <w:rPr>
          <w:rFonts w:ascii="Times New Roman" w:hAnsi="Times New Roman" w:cs="Times New Roman"/>
          <w:color w:val="000000"/>
          <w:sz w:val="24"/>
          <w:szCs w:val="24"/>
        </w:rPr>
      </w:pPr>
      <w:r w:rsidRPr="00E700EA">
        <w:rPr>
          <w:rFonts w:ascii="Times New Roman" w:hAnsi="Times New Roman" w:cs="Times New Roman"/>
          <w:color w:val="000000"/>
          <w:sz w:val="24"/>
          <w:szCs w:val="24"/>
          <w:vertAlign w:val="superscript"/>
          <w:lang w:eastAsia="ja-JP"/>
        </w:rPr>
        <w:t>1</w:t>
      </w:r>
      <w:r w:rsidRPr="00E700EA">
        <w:rPr>
          <w:rFonts w:ascii="Times New Roman" w:hAnsi="Times New Roman" w:cs="Times New Roman"/>
          <w:color w:val="000000"/>
          <w:sz w:val="24"/>
          <w:szCs w:val="24"/>
        </w:rPr>
        <w:t xml:space="preserve">Department of Medicine, Division of Respiratory Medicine, </w:t>
      </w:r>
      <w:r>
        <w:rPr>
          <w:rFonts w:ascii="Times New Roman" w:hAnsi="Times New Roman" w:cs="Times New Roman"/>
          <w:color w:val="000000"/>
          <w:sz w:val="24"/>
          <w:szCs w:val="24"/>
        </w:rPr>
        <w:t xml:space="preserve">Chan-Yeung Centre for Occupational and Environmental Respiratory Disease, </w:t>
      </w:r>
      <w:r w:rsidRPr="00E700EA">
        <w:rPr>
          <w:rFonts w:ascii="Times New Roman" w:hAnsi="Times New Roman" w:cs="Times New Roman"/>
          <w:color w:val="000000"/>
          <w:sz w:val="24"/>
          <w:szCs w:val="24"/>
        </w:rPr>
        <w:t>University of British Columbia, Vancouver, British Columbia, Canada</w:t>
      </w:r>
    </w:p>
    <w:p w14:paraId="63491659" w14:textId="77777777" w:rsidR="007840FC" w:rsidRDefault="007840FC" w:rsidP="00DA0E4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lang w:eastAsia="ja-JP"/>
        </w:rPr>
        <w:t>2</w:t>
      </w:r>
      <w:r>
        <w:rPr>
          <w:rFonts w:ascii="Times New Roman" w:hAnsi="Times New Roman" w:cs="Times New Roman"/>
          <w:color w:val="000000"/>
          <w:sz w:val="24"/>
          <w:szCs w:val="24"/>
        </w:rPr>
        <w:t xml:space="preserve">Centre for Heart Lung Innovation, Institute for Heart and Lung Health, </w:t>
      </w:r>
      <w:r w:rsidRPr="00E700EA">
        <w:rPr>
          <w:rFonts w:ascii="Times New Roman" w:hAnsi="Times New Roman" w:cs="Times New Roman"/>
          <w:color w:val="000000"/>
          <w:sz w:val="24"/>
          <w:szCs w:val="24"/>
        </w:rPr>
        <w:t>University of British Columbia, Vancouver, British Columbia, Canada</w:t>
      </w:r>
    </w:p>
    <w:p w14:paraId="2E0E94DA" w14:textId="77777777" w:rsidR="007840FC" w:rsidRDefault="007840FC" w:rsidP="00DA0E47">
      <w:pPr>
        <w:spacing w:line="480" w:lineRule="auto"/>
        <w:rPr>
          <w:rFonts w:ascii="Times New Roman" w:hAnsi="Times New Roman" w:cs="Times New Roman"/>
          <w:color w:val="000000"/>
          <w:sz w:val="24"/>
          <w:szCs w:val="24"/>
          <w:lang w:eastAsia="ja-JP"/>
        </w:rPr>
      </w:pPr>
      <w:r>
        <w:rPr>
          <w:rFonts w:ascii="Times New Roman" w:hAnsi="Times New Roman" w:cs="Times New Roman"/>
          <w:color w:val="000000"/>
          <w:sz w:val="24"/>
          <w:szCs w:val="24"/>
          <w:vertAlign w:val="superscript"/>
        </w:rPr>
        <w:t>3</w:t>
      </w:r>
      <w:r w:rsidRPr="00A96B81">
        <w:rPr>
          <w:rFonts w:ascii="Times New Roman" w:hAnsi="Times New Roman" w:cs="Times New Roman"/>
          <w:sz w:val="24"/>
          <w:szCs w:val="24"/>
          <w:lang w:val="en-US" w:eastAsia="en-CA"/>
        </w:rPr>
        <w:t xml:space="preserve">Department of Public Health and Clinical </w:t>
      </w:r>
      <w:r>
        <w:rPr>
          <w:rFonts w:ascii="Times New Roman" w:hAnsi="Times New Roman" w:cs="Times New Roman"/>
          <w:sz w:val="24"/>
          <w:szCs w:val="24"/>
          <w:lang w:val="en-US" w:eastAsia="en-CA"/>
        </w:rPr>
        <w:t>Medicine, Division of Medicine/Respiratory Medicine,</w:t>
      </w:r>
      <w:r w:rsidRPr="00A96B81">
        <w:rPr>
          <w:rFonts w:ascii="Times New Roman" w:hAnsi="Times New Roman" w:cs="Times New Roman"/>
          <w:sz w:val="24"/>
          <w:szCs w:val="24"/>
          <w:lang w:val="en-US" w:eastAsia="en-CA"/>
        </w:rPr>
        <w:t xml:space="preserve"> U</w:t>
      </w:r>
      <w:proofErr w:type="spellStart"/>
      <w:r w:rsidRPr="00A96B81">
        <w:rPr>
          <w:rFonts w:ascii="Times New Roman" w:hAnsi="Times New Roman" w:cs="Times New Roman"/>
          <w:color w:val="000000"/>
          <w:sz w:val="24"/>
          <w:szCs w:val="24"/>
          <w:lang w:eastAsia="ja-JP"/>
        </w:rPr>
        <w:t>me</w:t>
      </w:r>
      <w:r>
        <w:rPr>
          <w:rFonts w:ascii="Times New Roman" w:hAnsi="Times New Roman" w:cs="Times New Roman"/>
          <w:color w:val="000000"/>
          <w:sz w:val="24"/>
          <w:szCs w:val="24"/>
          <w:lang w:eastAsia="ja-JP"/>
        </w:rPr>
        <w:t>å</w:t>
      </w:r>
      <w:proofErr w:type="spellEnd"/>
      <w:r w:rsidRPr="00A96B81">
        <w:rPr>
          <w:rFonts w:ascii="Times New Roman" w:hAnsi="Times New Roman" w:cs="Times New Roman"/>
          <w:color w:val="000000"/>
          <w:sz w:val="24"/>
          <w:szCs w:val="24"/>
          <w:lang w:eastAsia="ja-JP"/>
        </w:rPr>
        <w:t xml:space="preserve"> University, </w:t>
      </w:r>
      <w:r w:rsidRPr="00A96B81">
        <w:rPr>
          <w:rFonts w:ascii="Times New Roman" w:hAnsi="Times New Roman" w:cs="Times New Roman"/>
          <w:sz w:val="24"/>
          <w:szCs w:val="24"/>
          <w:lang w:val="en-US" w:eastAsia="en-CA"/>
        </w:rPr>
        <w:t>U</w:t>
      </w:r>
      <w:proofErr w:type="spellStart"/>
      <w:r w:rsidRPr="00A96B81">
        <w:rPr>
          <w:rFonts w:ascii="Times New Roman" w:hAnsi="Times New Roman" w:cs="Times New Roman"/>
          <w:color w:val="000000"/>
          <w:sz w:val="24"/>
          <w:szCs w:val="24"/>
          <w:lang w:eastAsia="ja-JP"/>
        </w:rPr>
        <w:t>me</w:t>
      </w:r>
      <w:r>
        <w:rPr>
          <w:rFonts w:ascii="Times New Roman" w:hAnsi="Times New Roman" w:cs="Times New Roman"/>
          <w:color w:val="000000"/>
          <w:sz w:val="24"/>
          <w:szCs w:val="24"/>
          <w:lang w:eastAsia="ja-JP"/>
        </w:rPr>
        <w:t>å</w:t>
      </w:r>
      <w:proofErr w:type="spellEnd"/>
      <w:r w:rsidRPr="00A96B81">
        <w:rPr>
          <w:rFonts w:ascii="Times New Roman" w:hAnsi="Times New Roman" w:cs="Times New Roman"/>
          <w:color w:val="000000"/>
          <w:sz w:val="24"/>
          <w:szCs w:val="24"/>
          <w:lang w:eastAsia="ja-JP"/>
        </w:rPr>
        <w:t>, Sweden</w:t>
      </w:r>
    </w:p>
    <w:p w14:paraId="11C73594" w14:textId="77777777" w:rsidR="007840FC" w:rsidRDefault="007840FC" w:rsidP="00DA0E4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lang w:eastAsia="ja-JP"/>
        </w:rPr>
        <w:t>4</w:t>
      </w:r>
      <w:r w:rsidRPr="00E700EA">
        <w:rPr>
          <w:rFonts w:ascii="Times New Roman" w:hAnsi="Times New Roman" w:cs="Times New Roman"/>
          <w:color w:val="000000"/>
          <w:sz w:val="24"/>
          <w:szCs w:val="24"/>
        </w:rPr>
        <w:t>Department of Pediatrics, University of North Carolina, Chapel Hill, North Carolina, United States of America</w:t>
      </w:r>
    </w:p>
    <w:p w14:paraId="225F2BC3" w14:textId="77777777" w:rsidR="007840FC" w:rsidRPr="00E700EA" w:rsidRDefault="007840FC" w:rsidP="00DA0E47">
      <w:pPr>
        <w:spacing w:line="480" w:lineRule="auto"/>
        <w:rPr>
          <w:rFonts w:ascii="Times New Roman" w:hAnsi="Times New Roman" w:cs="Times New Roman"/>
          <w:color w:val="000000"/>
          <w:sz w:val="24"/>
          <w:szCs w:val="24"/>
        </w:rPr>
      </w:pPr>
    </w:p>
    <w:p w14:paraId="381E9146" w14:textId="77777777" w:rsidR="007840FC" w:rsidRPr="00BA4CB3" w:rsidRDefault="007840FC" w:rsidP="00DA0E47">
      <w:pPr>
        <w:spacing w:line="480" w:lineRule="auto"/>
        <w:rPr>
          <w:rFonts w:ascii="Times New Roman" w:hAnsi="Times New Roman" w:cs="Times New Roman"/>
          <w:sz w:val="24"/>
          <w:szCs w:val="24"/>
          <w:lang w:val="en-US"/>
        </w:rPr>
      </w:pPr>
      <w:r w:rsidRPr="00BA4CB3">
        <w:rPr>
          <w:rFonts w:ascii="Times New Roman" w:hAnsi="Times New Roman" w:cs="Times New Roman"/>
          <w:sz w:val="24"/>
          <w:szCs w:val="24"/>
          <w:lang w:val="en-US"/>
        </w:rPr>
        <w:t>Correspondence: Chr</w:t>
      </w:r>
      <w:r>
        <w:rPr>
          <w:rFonts w:ascii="Times New Roman" w:hAnsi="Times New Roman" w:cs="Times New Roman"/>
          <w:sz w:val="24"/>
          <w:szCs w:val="24"/>
          <w:lang w:val="en-US"/>
        </w:rPr>
        <w:t>is Carlsten, MD, MPH</w:t>
      </w:r>
    </w:p>
    <w:p w14:paraId="07B7F9D2" w14:textId="77777777" w:rsidR="007840FC" w:rsidRPr="00BA4CB3" w:rsidRDefault="007840FC" w:rsidP="00DA0E47">
      <w:pPr>
        <w:spacing w:line="480" w:lineRule="auto"/>
        <w:rPr>
          <w:rFonts w:ascii="Times New Roman" w:hAnsi="Times New Roman" w:cs="Times New Roman"/>
          <w:sz w:val="24"/>
          <w:szCs w:val="24"/>
          <w:lang w:val="en-US"/>
        </w:rPr>
      </w:pPr>
      <w:r w:rsidRPr="00BA4CB3">
        <w:rPr>
          <w:rFonts w:ascii="Times New Roman" w:hAnsi="Times New Roman" w:cs="Times New Roman"/>
          <w:sz w:val="24"/>
          <w:szCs w:val="24"/>
          <w:lang w:val="en-US"/>
        </w:rPr>
        <w:t>2775 Laurel Street, 7th floor The Lung Center, Vancouver General Hospital (VGH) – Gordon and Leslie Diamond Health Care Centre, Vancouver, BC, V5Z 1M9</w:t>
      </w:r>
    </w:p>
    <w:p w14:paraId="37F79EBE" w14:textId="77777777" w:rsidR="007840FC" w:rsidRDefault="007840FC" w:rsidP="00DA0E47">
      <w:pPr>
        <w:spacing w:line="480" w:lineRule="auto"/>
      </w:pPr>
      <w:r w:rsidRPr="00560EA8">
        <w:rPr>
          <w:rFonts w:ascii="Times New Roman" w:hAnsi="Times New Roman" w:cs="Times New Roman"/>
          <w:sz w:val="24"/>
          <w:szCs w:val="24"/>
          <w:lang w:val="fr-CA"/>
        </w:rPr>
        <w:t xml:space="preserve">Phone: 604-875-4122, Fax: 604-875-4695, e-mail: </w:t>
      </w:r>
      <w:hyperlink r:id="rId6" w:history="1">
        <w:r w:rsidRPr="00412C50">
          <w:rPr>
            <w:rStyle w:val="Hyperlink"/>
            <w:rFonts w:ascii="Times New Roman" w:hAnsi="Times New Roman" w:cs="Times New Roman"/>
            <w:sz w:val="24"/>
            <w:szCs w:val="24"/>
            <w:lang w:val="fr-CA"/>
          </w:rPr>
          <w:t>carlsten@mail.ubc.ca</w:t>
        </w:r>
      </w:hyperlink>
    </w:p>
    <w:p w14:paraId="3191B45E" w14:textId="77777777" w:rsidR="007840FC" w:rsidRDefault="007840FC" w:rsidP="00DA0E47">
      <w:pPr>
        <w:widowControl/>
        <w:autoSpaceDE/>
        <w:autoSpaceDN/>
        <w:adjustRightInd/>
        <w:spacing w:after="200" w:line="480" w:lineRule="auto"/>
      </w:pPr>
      <w:r>
        <w:br w:type="page"/>
      </w:r>
    </w:p>
    <w:p w14:paraId="3DC14FB8" w14:textId="77777777" w:rsidR="007840FC" w:rsidRDefault="007840FC" w:rsidP="007840FC">
      <w:pPr>
        <w:rPr>
          <w:rFonts w:ascii="Times New Roman" w:hAnsi="Times New Roman" w:cs="Times New Roman"/>
          <w:sz w:val="24"/>
          <w:szCs w:val="24"/>
        </w:rPr>
      </w:pPr>
    </w:p>
    <w:p w14:paraId="3C1C09F4" w14:textId="77777777" w:rsidR="000163D1" w:rsidRPr="00DA0E47" w:rsidRDefault="000163D1" w:rsidP="0080383F">
      <w:pPr>
        <w:widowControl/>
        <w:tabs>
          <w:tab w:val="left" w:pos="4449"/>
        </w:tabs>
        <w:autoSpaceDE/>
        <w:autoSpaceDN/>
        <w:adjustRightInd/>
        <w:spacing w:line="480" w:lineRule="auto"/>
        <w:rPr>
          <w:rFonts w:ascii="Times New Roman" w:hAnsi="Times New Roman" w:cs="Times New Roman"/>
          <w:b/>
          <w:sz w:val="24"/>
          <w:szCs w:val="24"/>
        </w:rPr>
      </w:pPr>
      <w:r w:rsidRPr="00DA0E47">
        <w:rPr>
          <w:rFonts w:ascii="Times New Roman" w:hAnsi="Times New Roman" w:cs="Times New Roman"/>
          <w:b/>
          <w:sz w:val="24"/>
          <w:szCs w:val="24"/>
        </w:rPr>
        <w:t xml:space="preserve">METHODS </w:t>
      </w:r>
    </w:p>
    <w:p w14:paraId="1AB6B3C1" w14:textId="7210B89F" w:rsidR="00A63F86" w:rsidRPr="001307C0" w:rsidRDefault="00A63F86" w:rsidP="00A63F86">
      <w:pPr>
        <w:spacing w:line="480" w:lineRule="auto"/>
        <w:rPr>
          <w:rFonts w:ascii="Times New Roman" w:hAnsi="Times New Roman" w:cs="Times New Roman"/>
          <w:color w:val="000000"/>
          <w:sz w:val="24"/>
          <w:szCs w:val="24"/>
          <w:lang w:val="en-US" w:eastAsia="en-CA"/>
        </w:rPr>
      </w:pPr>
      <w:r w:rsidRPr="00BA4CB3">
        <w:rPr>
          <w:rFonts w:ascii="Times New Roman" w:hAnsi="Times New Roman" w:cs="Times New Roman"/>
          <w:sz w:val="24"/>
          <w:szCs w:val="24"/>
        </w:rPr>
        <w:t>Subjects deemed appropriate by primary screening were invited for a secondary screening where blood was obtained for genotyping and baseline lung function (FEV</w:t>
      </w:r>
      <w:r w:rsidRPr="008F654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BA4CB3">
        <w:rPr>
          <w:rFonts w:ascii="Times New Roman" w:hAnsi="Times New Roman" w:cs="Times New Roman"/>
          <w:sz w:val="24"/>
          <w:szCs w:val="24"/>
        </w:rPr>
        <w:t>airway responsiveness to methacholine (PC</w:t>
      </w:r>
      <w:r w:rsidRPr="008F654C">
        <w:rPr>
          <w:rFonts w:ascii="Times New Roman" w:hAnsi="Times New Roman" w:cs="Times New Roman"/>
          <w:sz w:val="24"/>
          <w:szCs w:val="24"/>
          <w:vertAlign w:val="subscript"/>
        </w:rPr>
        <w:t>20</w:t>
      </w:r>
      <w:r w:rsidRPr="00BA4CB3">
        <w:rPr>
          <w:rFonts w:ascii="Times New Roman" w:hAnsi="Times New Roman" w:cs="Times New Roman"/>
          <w:sz w:val="24"/>
          <w:szCs w:val="24"/>
        </w:rPr>
        <w:t>) was determined</w:t>
      </w:r>
      <w:r>
        <w:rPr>
          <w:rFonts w:ascii="Times New Roman" w:hAnsi="Times New Roman" w:cs="Times New Roman"/>
          <w:sz w:val="24"/>
          <w:szCs w:val="24"/>
        </w:rPr>
        <w:t xml:space="preserve"> and skin prick-positivity was assessed</w:t>
      </w:r>
      <w:r w:rsidRPr="00BA4CB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lang w:val="en-US" w:eastAsia="en-CA"/>
        </w:rPr>
        <w:t xml:space="preserve"> </w:t>
      </w:r>
      <w:r>
        <w:rPr>
          <w:rFonts w:ascii="Times New Roman" w:hAnsi="Times New Roman" w:cs="Times New Roman"/>
          <w:sz w:val="24"/>
          <w:szCs w:val="24"/>
        </w:rPr>
        <w:t>Sensitization</w:t>
      </w:r>
      <w:r w:rsidRPr="00BA4CB3">
        <w:rPr>
          <w:rFonts w:ascii="Times New Roman" w:hAnsi="Times New Roman" w:cs="Times New Roman"/>
          <w:sz w:val="24"/>
          <w:szCs w:val="24"/>
        </w:rPr>
        <w:t xml:space="preserve"> to birch, </w:t>
      </w:r>
      <w:r>
        <w:rPr>
          <w:rFonts w:ascii="Times New Roman" w:hAnsi="Times New Roman" w:cs="Times New Roman"/>
          <w:sz w:val="24"/>
          <w:szCs w:val="24"/>
        </w:rPr>
        <w:t>Pacific</w:t>
      </w:r>
      <w:r w:rsidRPr="00BA4CB3">
        <w:rPr>
          <w:rFonts w:ascii="Times New Roman" w:hAnsi="Times New Roman" w:cs="Times New Roman"/>
          <w:sz w:val="24"/>
          <w:szCs w:val="24"/>
        </w:rPr>
        <w:t xml:space="preserve"> grass</w:t>
      </w:r>
      <w:r>
        <w:rPr>
          <w:rFonts w:ascii="Times New Roman" w:hAnsi="Times New Roman" w:cs="Times New Roman"/>
          <w:sz w:val="24"/>
          <w:szCs w:val="24"/>
        </w:rPr>
        <w:t>es</w:t>
      </w:r>
      <w:r w:rsidRPr="00BA4CB3">
        <w:rPr>
          <w:rFonts w:ascii="Times New Roman" w:hAnsi="Times New Roman" w:cs="Times New Roman"/>
          <w:sz w:val="24"/>
          <w:szCs w:val="24"/>
        </w:rPr>
        <w:t xml:space="preserve"> and house dust mite </w:t>
      </w:r>
      <w:r w:rsidRPr="00BA4CB3">
        <w:rPr>
          <w:rStyle w:val="CommentReference"/>
          <w:rFonts w:ascii="Times New Roman" w:hAnsi="Times New Roman" w:cs="Times New Roman"/>
          <w:sz w:val="24"/>
          <w:szCs w:val="24"/>
        </w:rPr>
        <w:t>(</w:t>
      </w:r>
      <w:proofErr w:type="spellStart"/>
      <w:r w:rsidRPr="00BA4CB3">
        <w:rPr>
          <w:rFonts w:ascii="Times New Roman" w:hAnsi="Times New Roman" w:cs="Times New Roman"/>
          <w:sz w:val="24"/>
          <w:szCs w:val="24"/>
          <w:lang w:val="en-US" w:eastAsia="en-CA"/>
        </w:rPr>
        <w:t>Dermatophagoides</w:t>
      </w:r>
      <w:proofErr w:type="spellEnd"/>
      <w:r w:rsidRPr="00BA4CB3">
        <w:rPr>
          <w:rFonts w:ascii="Times New Roman" w:hAnsi="Times New Roman" w:cs="Times New Roman"/>
          <w:sz w:val="24"/>
          <w:szCs w:val="24"/>
          <w:lang w:val="en-US" w:eastAsia="en-CA"/>
        </w:rPr>
        <w:t xml:space="preserve"> </w:t>
      </w:r>
      <w:proofErr w:type="spellStart"/>
      <w:r w:rsidRPr="00BA4CB3">
        <w:rPr>
          <w:rFonts w:ascii="Times New Roman" w:hAnsi="Times New Roman" w:cs="Times New Roman"/>
          <w:sz w:val="24"/>
          <w:szCs w:val="24"/>
          <w:lang w:val="en-US" w:eastAsia="en-CA"/>
        </w:rPr>
        <w:t>pteronyssinus</w:t>
      </w:r>
      <w:proofErr w:type="spellEnd"/>
      <w:r w:rsidRPr="00BA4CB3">
        <w:rPr>
          <w:rFonts w:ascii="Times New Roman" w:hAnsi="Times New Roman" w:cs="Times New Roman"/>
          <w:sz w:val="24"/>
          <w:szCs w:val="24"/>
          <w:lang w:val="en-US" w:eastAsia="en-CA"/>
        </w:rPr>
        <w:t xml:space="preserve"> group 1</w:t>
      </w:r>
      <w:r w:rsidRPr="00BA4CB3">
        <w:rPr>
          <w:rStyle w:val="CommentReference"/>
          <w:rFonts w:ascii="Times New Roman" w:hAnsi="Times New Roman" w:cs="Times New Roman"/>
          <w:sz w:val="24"/>
          <w:szCs w:val="24"/>
        </w:rPr>
        <w:t xml:space="preserve">) </w:t>
      </w:r>
      <w:r w:rsidRPr="00BA4CB3">
        <w:rPr>
          <w:rFonts w:ascii="Times New Roman" w:hAnsi="Times New Roman" w:cs="Times New Roman"/>
          <w:sz w:val="24"/>
          <w:szCs w:val="24"/>
        </w:rPr>
        <w:t>w</w:t>
      </w:r>
      <w:r>
        <w:rPr>
          <w:rFonts w:ascii="Times New Roman" w:hAnsi="Times New Roman" w:cs="Times New Roman"/>
          <w:sz w:val="24"/>
          <w:szCs w:val="24"/>
        </w:rPr>
        <w:t>as</w:t>
      </w:r>
      <w:r w:rsidRPr="00BA4CB3">
        <w:rPr>
          <w:rFonts w:ascii="Times New Roman" w:hAnsi="Times New Roman" w:cs="Times New Roman"/>
          <w:sz w:val="24"/>
          <w:szCs w:val="24"/>
        </w:rPr>
        <w:t xml:space="preserve"> tested by skin prick, using standardized extracts (medical grade; Hollister-</w:t>
      </w:r>
      <w:proofErr w:type="spellStart"/>
      <w:r w:rsidRPr="00BA4CB3">
        <w:rPr>
          <w:rFonts w:ascii="Times New Roman" w:hAnsi="Times New Roman" w:cs="Times New Roman"/>
          <w:sz w:val="24"/>
          <w:szCs w:val="24"/>
        </w:rPr>
        <w:t>Stier</w:t>
      </w:r>
      <w:proofErr w:type="spellEnd"/>
      <w:r w:rsidRPr="00BA4CB3">
        <w:rPr>
          <w:rFonts w:ascii="Times New Roman" w:hAnsi="Times New Roman" w:cs="Times New Roman"/>
          <w:sz w:val="24"/>
          <w:szCs w:val="24"/>
        </w:rPr>
        <w:t xml:space="preserve">, Spokane, WA) in a 50% </w:t>
      </w:r>
      <w:proofErr w:type="spellStart"/>
      <w:r w:rsidRPr="00BA4CB3">
        <w:rPr>
          <w:rFonts w:ascii="Times New Roman" w:hAnsi="Times New Roman" w:cs="Times New Roman"/>
          <w:sz w:val="24"/>
          <w:szCs w:val="24"/>
        </w:rPr>
        <w:t>vol</w:t>
      </w:r>
      <w:proofErr w:type="spellEnd"/>
      <w:r w:rsidRPr="00BA4CB3">
        <w:rPr>
          <w:rFonts w:ascii="Times New Roman" w:hAnsi="Times New Roman" w:cs="Times New Roman"/>
          <w:sz w:val="24"/>
          <w:szCs w:val="24"/>
        </w:rPr>
        <w:t>/</w:t>
      </w:r>
      <w:proofErr w:type="spellStart"/>
      <w:r w:rsidRPr="00BA4CB3">
        <w:rPr>
          <w:rFonts w:ascii="Times New Roman" w:hAnsi="Times New Roman" w:cs="Times New Roman"/>
          <w:sz w:val="24"/>
          <w:szCs w:val="24"/>
        </w:rPr>
        <w:t>vol</w:t>
      </w:r>
      <w:proofErr w:type="spellEnd"/>
      <w:r w:rsidRPr="00BA4CB3">
        <w:rPr>
          <w:rFonts w:ascii="Times New Roman" w:hAnsi="Times New Roman" w:cs="Times New Roman"/>
          <w:sz w:val="24"/>
          <w:szCs w:val="24"/>
        </w:rPr>
        <w:t xml:space="preserve"> glycerin diluent solution. A wheal </w:t>
      </w:r>
      <w:r w:rsidRPr="00BA4CB3">
        <w:rPr>
          <w:rFonts w:ascii="Times New Roman" w:eastAsia="MS ????" w:hAnsi="Times New Roman" w:cs="Times New Roman"/>
          <w:color w:val="000000"/>
          <w:sz w:val="24"/>
          <w:szCs w:val="24"/>
        </w:rPr>
        <w:t>≥</w:t>
      </w:r>
      <w:r w:rsidRPr="00BA4CB3">
        <w:rPr>
          <w:rFonts w:ascii="Times New Roman" w:hAnsi="Times New Roman" w:cs="Times New Roman"/>
          <w:sz w:val="24"/>
          <w:szCs w:val="24"/>
        </w:rPr>
        <w:t>3</w:t>
      </w:r>
      <w:r>
        <w:rPr>
          <w:rFonts w:ascii="Times New Roman" w:hAnsi="Times New Roman" w:cs="Times New Roman"/>
          <w:sz w:val="24"/>
          <w:szCs w:val="24"/>
        </w:rPr>
        <w:t xml:space="preserve"> </w:t>
      </w:r>
      <w:r w:rsidRPr="00BA4CB3">
        <w:rPr>
          <w:rFonts w:ascii="Times New Roman" w:hAnsi="Times New Roman" w:cs="Times New Roman"/>
          <w:sz w:val="24"/>
          <w:szCs w:val="24"/>
        </w:rPr>
        <w:t>mm to at least one of those allergens was required for inclusion in the study. For subjects with a positive wheal to more than one of the t</w:t>
      </w:r>
      <w:r>
        <w:rPr>
          <w:rFonts w:ascii="Times New Roman" w:hAnsi="Times New Roman" w:cs="Times New Roman"/>
          <w:sz w:val="24"/>
          <w:szCs w:val="24"/>
        </w:rPr>
        <w:t>h</w:t>
      </w:r>
      <w:r w:rsidRPr="00BA4CB3">
        <w:rPr>
          <w:rFonts w:ascii="Times New Roman" w:hAnsi="Times New Roman" w:cs="Times New Roman"/>
          <w:sz w:val="24"/>
          <w:szCs w:val="24"/>
        </w:rPr>
        <w:t xml:space="preserve">ree allergens, the test allergen was chosen based on the season (grass or birch were used </w:t>
      </w:r>
      <w:r>
        <w:rPr>
          <w:rFonts w:ascii="Times New Roman" w:hAnsi="Times New Roman" w:cs="Times New Roman"/>
          <w:sz w:val="24"/>
          <w:szCs w:val="24"/>
        </w:rPr>
        <w:t xml:space="preserve">in wheal-positive subjects </w:t>
      </w:r>
      <w:r w:rsidRPr="00BA4CB3">
        <w:rPr>
          <w:rFonts w:ascii="Times New Roman" w:hAnsi="Times New Roman" w:cs="Times New Roman"/>
          <w:sz w:val="24"/>
          <w:szCs w:val="24"/>
        </w:rPr>
        <w:t xml:space="preserve">when the duration of the study period for that given subject would be </w:t>
      </w:r>
      <w:r>
        <w:rPr>
          <w:rFonts w:ascii="Times New Roman" w:hAnsi="Times New Roman" w:cs="Times New Roman"/>
          <w:sz w:val="24"/>
          <w:szCs w:val="24"/>
        </w:rPr>
        <w:t>outside the given pollen season;</w:t>
      </w:r>
      <w:r w:rsidRPr="00BA4CB3">
        <w:rPr>
          <w:rFonts w:ascii="Times New Roman" w:hAnsi="Times New Roman" w:cs="Times New Roman"/>
          <w:sz w:val="24"/>
          <w:szCs w:val="24"/>
        </w:rPr>
        <w:t xml:space="preserve"> otherwise, dust mite was used). Subjects withheld long-acting β</w:t>
      </w:r>
      <w:r w:rsidRPr="00BA4CB3">
        <w:rPr>
          <w:rFonts w:ascii="Times New Roman" w:hAnsi="Times New Roman" w:cs="Times New Roman"/>
          <w:sz w:val="24"/>
          <w:szCs w:val="24"/>
          <w:vertAlign w:val="subscript"/>
        </w:rPr>
        <w:t>2</w:t>
      </w:r>
      <w:r w:rsidRPr="00BA4CB3">
        <w:rPr>
          <w:rFonts w:ascii="Times New Roman" w:hAnsi="Times New Roman" w:cs="Times New Roman"/>
          <w:sz w:val="24"/>
          <w:szCs w:val="24"/>
        </w:rPr>
        <w:t>-agonists for 48 hours, short-acting β</w:t>
      </w:r>
      <w:r w:rsidRPr="00BA4CB3">
        <w:rPr>
          <w:rFonts w:ascii="Times New Roman" w:hAnsi="Times New Roman" w:cs="Times New Roman"/>
          <w:sz w:val="24"/>
          <w:szCs w:val="24"/>
          <w:vertAlign w:val="subscript"/>
        </w:rPr>
        <w:t>2</w:t>
      </w:r>
      <w:r w:rsidRPr="00BA4CB3">
        <w:rPr>
          <w:rFonts w:ascii="Times New Roman" w:hAnsi="Times New Roman" w:cs="Times New Roman"/>
          <w:sz w:val="24"/>
          <w:szCs w:val="24"/>
        </w:rPr>
        <w:t xml:space="preserve">-agonists for 6 hours, long-acting anti-histamines for 14 days, non-steroidal anti-inflammatories and aspirin for 7 days, and short-acting anti-histamines for 3 days prior to skin test and </w:t>
      </w:r>
      <w:r>
        <w:rPr>
          <w:rFonts w:ascii="Times New Roman" w:hAnsi="Times New Roman" w:cs="Times New Roman"/>
          <w:sz w:val="24"/>
          <w:szCs w:val="24"/>
        </w:rPr>
        <w:t>SAC</w:t>
      </w:r>
      <w:r w:rsidRPr="00BA4CB3">
        <w:rPr>
          <w:rFonts w:ascii="Times New Roman" w:hAnsi="Times New Roman" w:cs="Times New Roman"/>
          <w:sz w:val="24"/>
          <w:szCs w:val="24"/>
        </w:rPr>
        <w:t xml:space="preserve"> (described below). A series of </w:t>
      </w:r>
      <w:r>
        <w:rPr>
          <w:rFonts w:ascii="Times New Roman" w:hAnsi="Times New Roman" w:cs="Times New Roman"/>
          <w:sz w:val="24"/>
          <w:szCs w:val="24"/>
        </w:rPr>
        <w:t xml:space="preserve">1:10 </w:t>
      </w:r>
      <w:r w:rsidRPr="00BA4CB3">
        <w:rPr>
          <w:rFonts w:ascii="Times New Roman" w:hAnsi="Times New Roman" w:cs="Times New Roman"/>
          <w:sz w:val="24"/>
          <w:szCs w:val="24"/>
        </w:rPr>
        <w:t>dilutions of the test allergen were used to determine the lowest skin prick dose needed to elicit a 3</w:t>
      </w:r>
      <w:r>
        <w:rPr>
          <w:rFonts w:ascii="Times New Roman" w:hAnsi="Times New Roman" w:cs="Times New Roman"/>
          <w:sz w:val="24"/>
          <w:szCs w:val="24"/>
        </w:rPr>
        <w:t>-</w:t>
      </w:r>
      <w:r w:rsidRPr="00BA4CB3">
        <w:rPr>
          <w:rFonts w:ascii="Times New Roman" w:hAnsi="Times New Roman" w:cs="Times New Roman"/>
          <w:sz w:val="24"/>
          <w:szCs w:val="24"/>
        </w:rPr>
        <w:t>mm wheal, based on the strong correlation between the concentration of allergen leading to skin test positivity and that prompting airway responsiveness</w:t>
      </w:r>
      <w:r>
        <w:rPr>
          <w:rFonts w:ascii="Times New Roman" w:hAnsi="Times New Roman" w:cs="Times New Roman"/>
          <w:sz w:val="24"/>
          <w:szCs w:val="24"/>
        </w:rPr>
        <w:t xml:space="preserve"> </w:t>
      </w:r>
      <w:r w:rsidR="00CA24E7">
        <w:rPr>
          <w:rFonts w:ascii="Times New Roman" w:hAnsi="Times New Roman" w:cs="Times New Roman"/>
          <w:sz w:val="24"/>
          <w:szCs w:val="24"/>
        </w:rPr>
        <w:fldChar w:fldCharType="begin">
          <w:fldData xml:space="preserve">PEVuZE5vdGU+PENpdGU+PEF1dGhvcj5NZXR6Z2VyPC9BdXRob3I+PFllYXI+MTk4NzwvWWVhcj48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</w:fldData>
        </w:fldChar>
      </w:r>
      <w:r w:rsidR="00274B4C">
        <w:rPr>
          <w:rFonts w:ascii="Times New Roman" w:hAnsi="Times New Roman" w:cs="Times New Roman"/>
          <w:sz w:val="24"/>
          <w:szCs w:val="24"/>
        </w:rPr>
        <w:instrText xml:space="preserve"> ADDIN EN.CITE </w:instrText>
      </w:r>
      <w:r w:rsidR="00274B4C">
        <w:rPr>
          <w:rFonts w:ascii="Times New Roman" w:hAnsi="Times New Roman" w:cs="Times New Roman"/>
          <w:sz w:val="24"/>
          <w:szCs w:val="24"/>
        </w:rPr>
        <w:fldChar w:fldCharType="begin">
          <w:fldData xml:space="preserve">PEVuZE5vdGU+PENpdGU+PEF1dGhvcj5NZXR6Z2VyPC9BdXRob3I+PFllYXI+MTk4NzwvWWVhcj48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</w:fldData>
        </w:fldChar>
      </w:r>
      <w:r w:rsidR="00274B4C">
        <w:rPr>
          <w:rFonts w:ascii="Times New Roman" w:hAnsi="Times New Roman" w:cs="Times New Roman"/>
          <w:sz w:val="24"/>
          <w:szCs w:val="24"/>
        </w:rPr>
        <w:instrText xml:space="preserve"> ADDIN EN.CITE.DATA </w:instrText>
      </w:r>
      <w:r w:rsidR="00274B4C">
        <w:rPr>
          <w:rFonts w:ascii="Times New Roman" w:hAnsi="Times New Roman" w:cs="Times New Roman"/>
          <w:sz w:val="24"/>
          <w:szCs w:val="24"/>
        </w:rPr>
      </w:r>
      <w:r w:rsidR="00274B4C">
        <w:rPr>
          <w:rFonts w:ascii="Times New Roman" w:hAnsi="Times New Roman" w:cs="Times New Roman"/>
          <w:sz w:val="24"/>
          <w:szCs w:val="24"/>
        </w:rPr>
        <w:fldChar w:fldCharType="end"/>
      </w:r>
      <w:r w:rsidR="00CA24E7">
        <w:rPr>
          <w:rFonts w:ascii="Times New Roman" w:hAnsi="Times New Roman" w:cs="Times New Roman"/>
          <w:sz w:val="24"/>
          <w:szCs w:val="24"/>
        </w:rPr>
      </w:r>
      <w:r w:rsidR="00CA24E7">
        <w:rPr>
          <w:rFonts w:ascii="Times New Roman" w:hAnsi="Times New Roman" w:cs="Times New Roman"/>
          <w:sz w:val="24"/>
          <w:szCs w:val="24"/>
        </w:rPr>
        <w:fldChar w:fldCharType="separate"/>
      </w:r>
      <w:r w:rsidR="00274B4C">
        <w:rPr>
          <w:rFonts w:ascii="Times New Roman" w:hAnsi="Times New Roman" w:cs="Times New Roman"/>
          <w:noProof/>
          <w:sz w:val="24"/>
          <w:szCs w:val="24"/>
        </w:rPr>
        <w:t>[1]</w:t>
      </w:r>
      <w:r w:rsidR="00CA24E7">
        <w:rPr>
          <w:rFonts w:ascii="Times New Roman" w:hAnsi="Times New Roman" w:cs="Times New Roman"/>
          <w:sz w:val="24"/>
          <w:szCs w:val="24"/>
        </w:rPr>
        <w:fldChar w:fldCharType="end"/>
      </w:r>
      <w:r w:rsidRPr="00BA4CB3">
        <w:rPr>
          <w:rFonts w:ascii="Times New Roman" w:hAnsi="Times New Roman" w:cs="Times New Roman"/>
          <w:sz w:val="24"/>
          <w:szCs w:val="24"/>
        </w:rPr>
        <w:t>. In those whose test allergen was birch, we required that they avoid apple, pear, sweet cherry, peach, plum, apricot, almond, celery, carrot, potato, hazelnut, mango, and chili pepper to minimize concerns for oral allergy syndrome.</w:t>
      </w:r>
    </w:p>
    <w:p w14:paraId="6E1AABFB" w14:textId="77777777" w:rsidR="00A63F86" w:rsidRPr="00BA4CB3" w:rsidRDefault="00A63F86" w:rsidP="00A63F86">
      <w:pPr>
        <w:spacing w:line="480" w:lineRule="auto"/>
        <w:rPr>
          <w:rFonts w:ascii="Times New Roman" w:hAnsi="Times New Roman" w:cs="Times New Roman"/>
          <w:sz w:val="24"/>
          <w:szCs w:val="24"/>
        </w:rPr>
      </w:pPr>
    </w:p>
    <w:p w14:paraId="1044B738" w14:textId="45A98682" w:rsidR="00FE7E09" w:rsidRDefault="00A63F86" w:rsidP="00DD5517">
      <w:pPr>
        <w:spacing w:line="480" w:lineRule="auto"/>
        <w:rPr>
          <w:szCs w:val="24"/>
        </w:rPr>
      </w:pPr>
      <w:r>
        <w:rPr>
          <w:rFonts w:ascii="Times New Roman" w:hAnsi="Times New Roman" w:cs="Times New Roman"/>
          <w:sz w:val="24"/>
          <w:szCs w:val="24"/>
        </w:rPr>
        <w:t>Recruitment goal was</w:t>
      </w:r>
      <w:r w:rsidRPr="00BA4CB3">
        <w:rPr>
          <w:rFonts w:ascii="Times New Roman" w:hAnsi="Times New Roman" w:cs="Times New Roman"/>
          <w:sz w:val="24"/>
          <w:szCs w:val="24"/>
        </w:rPr>
        <w:t xml:space="preserve"> 18 subjects based on a power </w:t>
      </w:r>
      <w:r w:rsidRPr="001307C0">
        <w:rPr>
          <w:rFonts w:ascii="Times New Roman" w:hAnsi="Times New Roman" w:cs="Times New Roman"/>
          <w:sz w:val="24"/>
          <w:szCs w:val="24"/>
        </w:rPr>
        <w:t xml:space="preserve">calculation performed using two-sided paired t-tests with an alpha level of 0.05 and power of 90% based on data in Table 3 of Gilliland </w:t>
      </w:r>
      <w:r w:rsidRPr="001307C0">
        <w:rPr>
          <w:rFonts w:ascii="Times New Roman" w:hAnsi="Times New Roman" w:cs="Times New Roman"/>
          <w:i/>
          <w:sz w:val="24"/>
          <w:szCs w:val="24"/>
        </w:rPr>
        <w:t>et al</w:t>
      </w:r>
      <w:r w:rsidRPr="001307C0">
        <w:rPr>
          <w:rFonts w:ascii="Times New Roman" w:hAnsi="Times New Roman" w:cs="Times New Roman"/>
          <w:sz w:val="24"/>
          <w:szCs w:val="24"/>
        </w:rPr>
        <w:t xml:space="preserve"> </w:t>
      </w:r>
      <w:r w:rsidR="00CA24E7">
        <w:rPr>
          <w:rFonts w:ascii="Times New Roman" w:hAnsi="Times New Roman" w:cs="Times New Roman"/>
          <w:sz w:val="24"/>
          <w:szCs w:val="24"/>
        </w:rPr>
        <w:fldChar w:fldCharType="begin">
          <w:fldData xml:space="preserve">PEVuZE5vdGU+PENpdGU+PEF1dGhvcj5HaWxsaWxhbmQ8L0F1dGhvcj48WWVhcj4yMDA0PC9ZZWFy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</w:fldData>
        </w:fldChar>
      </w:r>
      <w:r w:rsidR="00274B4C">
        <w:rPr>
          <w:rFonts w:ascii="Times New Roman" w:hAnsi="Times New Roman" w:cs="Times New Roman"/>
          <w:sz w:val="24"/>
          <w:szCs w:val="24"/>
        </w:rPr>
        <w:instrText xml:space="preserve"> ADDIN EN.CITE </w:instrText>
      </w:r>
      <w:r w:rsidR="00274B4C">
        <w:rPr>
          <w:rFonts w:ascii="Times New Roman" w:hAnsi="Times New Roman" w:cs="Times New Roman"/>
          <w:sz w:val="24"/>
          <w:szCs w:val="24"/>
        </w:rPr>
        <w:fldChar w:fldCharType="begin">
          <w:fldData xml:space="preserve">PEVuZE5vdGU+PENpdGU+PEF1dGhvcj5HaWxsaWxhbmQ8L0F1dGhvcj48WWVhcj4yMDA0PC9ZZWFy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</w:fldData>
        </w:fldChar>
      </w:r>
      <w:r w:rsidR="00274B4C">
        <w:rPr>
          <w:rFonts w:ascii="Times New Roman" w:hAnsi="Times New Roman" w:cs="Times New Roman"/>
          <w:sz w:val="24"/>
          <w:szCs w:val="24"/>
        </w:rPr>
        <w:instrText xml:space="preserve"> ADDIN EN.CITE.DATA </w:instrText>
      </w:r>
      <w:r w:rsidR="00274B4C">
        <w:rPr>
          <w:rFonts w:ascii="Times New Roman" w:hAnsi="Times New Roman" w:cs="Times New Roman"/>
          <w:sz w:val="24"/>
          <w:szCs w:val="24"/>
        </w:rPr>
      </w:r>
      <w:r w:rsidR="00274B4C">
        <w:rPr>
          <w:rFonts w:ascii="Times New Roman" w:hAnsi="Times New Roman" w:cs="Times New Roman"/>
          <w:sz w:val="24"/>
          <w:szCs w:val="24"/>
        </w:rPr>
        <w:fldChar w:fldCharType="end"/>
      </w:r>
      <w:r w:rsidR="00CA24E7">
        <w:rPr>
          <w:rFonts w:ascii="Times New Roman" w:hAnsi="Times New Roman" w:cs="Times New Roman"/>
          <w:sz w:val="24"/>
          <w:szCs w:val="24"/>
        </w:rPr>
      </w:r>
      <w:r w:rsidR="00CA24E7">
        <w:rPr>
          <w:rFonts w:ascii="Times New Roman" w:hAnsi="Times New Roman" w:cs="Times New Roman"/>
          <w:sz w:val="24"/>
          <w:szCs w:val="24"/>
        </w:rPr>
        <w:fldChar w:fldCharType="separate"/>
      </w:r>
      <w:r w:rsidR="00274B4C">
        <w:rPr>
          <w:rFonts w:ascii="Times New Roman" w:hAnsi="Times New Roman" w:cs="Times New Roman"/>
          <w:noProof/>
          <w:sz w:val="24"/>
          <w:szCs w:val="24"/>
        </w:rPr>
        <w:t>[2]</w:t>
      </w:r>
      <w:r w:rsidR="00CA24E7">
        <w:rPr>
          <w:rFonts w:ascii="Times New Roman" w:hAnsi="Times New Roman" w:cs="Times New Roman"/>
          <w:sz w:val="24"/>
          <w:szCs w:val="24"/>
        </w:rPr>
        <w:fldChar w:fldCharType="end"/>
      </w:r>
      <w:r w:rsidRPr="001307C0">
        <w:rPr>
          <w:rFonts w:ascii="Times New Roman" w:hAnsi="Times New Roman" w:cs="Times New Roman"/>
          <w:sz w:val="24"/>
          <w:szCs w:val="24"/>
        </w:rPr>
        <w:t xml:space="preserve">, which was performed </w:t>
      </w:r>
      <w:r w:rsidR="00683AB4">
        <w:rPr>
          <w:rFonts w:ascii="Times New Roman" w:hAnsi="Times New Roman" w:cs="Times New Roman"/>
          <w:sz w:val="24"/>
          <w:szCs w:val="24"/>
        </w:rPr>
        <w:t xml:space="preserve">in the nose but otherwise closely reflected the goals of our analysis. </w:t>
      </w:r>
      <w:r w:rsidR="00CA24E7" w:rsidRPr="00DD5517">
        <w:rPr>
          <w:rFonts w:ascii="Times New Roman" w:hAnsi="Times New Roman" w:cs="Times New Roman"/>
          <w:sz w:val="24"/>
          <w:szCs w:val="24"/>
        </w:rPr>
        <w:t xml:space="preserve">A validated common cold questionnaire </w:t>
      </w:r>
      <w:r w:rsidR="00CA24E7" w:rsidRPr="00DD5517">
        <w:rPr>
          <w:rFonts w:ascii="Times New Roman" w:hAnsi="Times New Roman" w:cs="Times New Roman"/>
          <w:sz w:val="24"/>
          <w:szCs w:val="24"/>
        </w:rPr>
        <w:fldChar w:fldCharType="begin"/>
      </w:r>
      <w:r w:rsidR="00274B4C">
        <w:rPr>
          <w:rFonts w:ascii="Times New Roman" w:hAnsi="Times New Roman" w:cs="Times New Roman"/>
          <w:sz w:val="24"/>
          <w:szCs w:val="24"/>
        </w:rPr>
        <w:instrText xml:space="preserve"> ADDIN EN.CITE &lt;EndNote&gt;&lt;Cite&gt;&lt;Author&gt;Jackson&lt;/Author&gt;&lt;Year&gt;1958&lt;/Year&gt;&lt;RecNum&gt;1561&lt;/RecNum&gt;&lt;DisplayText&gt;[3]&lt;/DisplayText&gt;&lt;record&gt;&lt;rec-number&gt;1561&lt;/rec-number&gt;&lt;foreign-keys&gt;&lt;key app="EN" db-id="f90detvp5p52ple0r0ox9wdptae2fwsw599p" timestamp="0"&gt;1561&lt;/key&gt;&lt;/foreign-keys&gt;&lt;ref-type name="Journal Article"&gt;17&lt;/ref-type&gt;&lt;contributors&gt;&lt;authors&gt;&lt;author&gt;Jackson, G. G.&lt;/author&gt;&lt;author&gt;Dowling, H. F.&lt;/author&gt;&lt;author&gt;Spiesman, I. G.&lt;/author&gt;&lt;author&gt;Boand, A. V.&lt;/author&gt;&lt;/authors&gt;&lt;/contributors&gt;&lt;titles&gt;&lt;title&gt;Transmission of the common cold to volunteers under controlled conditions. I. The common cold as a clinical entity&lt;/title&gt;&lt;secondary-title&gt;AMA Arch Intern Med&lt;/secondary-title&gt;&lt;/titles&gt;&lt;pages&gt;267-78&lt;/pages&gt;&lt;volume&gt;101&lt;/volume&gt;&lt;number&gt;2&lt;/number&gt;&lt;edition&gt;1958/02/01&lt;/edition&gt;&lt;keywords&gt;&lt;keyword&gt;Common Cold/*transmission&lt;/keyword&gt;&lt;/keywords&gt;&lt;dates&gt;&lt;year&gt;1958&lt;/year&gt;&lt;pub-dates&gt;&lt;date&gt;Feb&lt;/date&gt;&lt;/pub-dates&gt;&lt;/dates&gt;&lt;isbn&gt;0888-2479 (Print)&amp;#xD;0888-2479 (Linking)&lt;/isbn&gt;&lt;accession-num&gt;13497324&lt;/accession-num&gt;&lt;urls&gt;&lt;related-urls&gt;&lt;url&gt;http://www.ncbi.nlm.nih.gov/entrez/query.fcgi?cmd=Retrieve&amp;amp;db=PubMed&amp;amp;dopt=Citation&amp;amp;list_uids=13497324&lt;/url&gt;&lt;/related-urls&gt;&lt;/urls&gt;&lt;language&gt;eng&lt;/language&gt;&lt;/record&gt;&lt;/Cite&gt;&lt;/EndNote&gt;</w:instrText>
      </w:r>
      <w:r w:rsidR="00CA24E7" w:rsidRPr="00DD5517">
        <w:rPr>
          <w:rFonts w:ascii="Times New Roman" w:hAnsi="Times New Roman" w:cs="Times New Roman"/>
          <w:sz w:val="24"/>
          <w:szCs w:val="24"/>
        </w:rPr>
        <w:fldChar w:fldCharType="separate"/>
      </w:r>
      <w:r w:rsidR="00274B4C">
        <w:rPr>
          <w:rFonts w:ascii="Times New Roman" w:hAnsi="Times New Roman" w:cs="Times New Roman"/>
          <w:noProof/>
          <w:sz w:val="24"/>
          <w:szCs w:val="24"/>
        </w:rPr>
        <w:t>[3]</w:t>
      </w:r>
      <w:r w:rsidR="00CA24E7" w:rsidRPr="00DD5517">
        <w:rPr>
          <w:rFonts w:ascii="Times New Roman" w:hAnsi="Times New Roman" w:cs="Times New Roman"/>
          <w:sz w:val="24"/>
          <w:szCs w:val="24"/>
        </w:rPr>
        <w:fldChar w:fldCharType="end"/>
      </w:r>
      <w:r w:rsidR="00CA24E7" w:rsidRPr="00DD5517">
        <w:rPr>
          <w:rFonts w:ascii="Times New Roman" w:hAnsi="Times New Roman" w:cs="Times New Roman"/>
          <w:sz w:val="24"/>
          <w:szCs w:val="24"/>
        </w:rPr>
        <w:t xml:space="preserve"> was used to confirm that participants were free of viral infection for at least four weeks before each testing session. One hour following each exposure to DE or FA, bronchoscopy was performed to deliver a segmental allergen challenge (SAC</w:t>
      </w:r>
      <w:r w:rsidR="00F239A1">
        <w:rPr>
          <w:rFonts w:ascii="Times New Roman" w:hAnsi="Times New Roman" w:cs="Times New Roman"/>
          <w:sz w:val="24"/>
          <w:szCs w:val="24"/>
        </w:rPr>
        <w:t xml:space="preserve"> </w:t>
      </w:r>
      <w:r w:rsidR="00CA24E7" w:rsidRPr="00DD5517">
        <w:rPr>
          <w:rFonts w:ascii="Times New Roman" w:hAnsi="Times New Roman" w:cs="Times New Roman"/>
          <w:sz w:val="24"/>
          <w:szCs w:val="24"/>
        </w:rPr>
        <w:t xml:space="preserve">5 mL solution of allergen extract in a concentration 10-fold lower than that minimal dose producing a positive wheal) in a right middle lobe </w:t>
      </w:r>
      <w:r w:rsidR="00E86E5F">
        <w:rPr>
          <w:rFonts w:ascii="Times New Roman" w:hAnsi="Times New Roman" w:cs="Times New Roman"/>
          <w:sz w:val="24"/>
          <w:szCs w:val="24"/>
        </w:rPr>
        <w:t xml:space="preserve">(RML) </w:t>
      </w:r>
      <w:r w:rsidR="00CA24E7" w:rsidRPr="00DD5517">
        <w:rPr>
          <w:rFonts w:ascii="Times New Roman" w:hAnsi="Times New Roman" w:cs="Times New Roman"/>
          <w:sz w:val="24"/>
          <w:szCs w:val="24"/>
        </w:rPr>
        <w:t xml:space="preserve">segment </w:t>
      </w:r>
      <w:r w:rsidR="00E86E5F">
        <w:rPr>
          <w:rFonts w:ascii="Times New Roman" w:hAnsi="Times New Roman" w:cs="Times New Roman"/>
          <w:sz w:val="24"/>
          <w:szCs w:val="24"/>
        </w:rPr>
        <w:t xml:space="preserve">or </w:t>
      </w:r>
      <w:proofErr w:type="spellStart"/>
      <w:r w:rsidR="00CA24E7" w:rsidRPr="00DD5517">
        <w:rPr>
          <w:rFonts w:ascii="Times New Roman" w:hAnsi="Times New Roman" w:cs="Times New Roman"/>
          <w:sz w:val="24"/>
          <w:szCs w:val="24"/>
        </w:rPr>
        <w:t>lingular</w:t>
      </w:r>
      <w:proofErr w:type="spellEnd"/>
      <w:r w:rsidR="00CA24E7" w:rsidRPr="00DD5517">
        <w:rPr>
          <w:rFonts w:ascii="Times New Roman" w:hAnsi="Times New Roman" w:cs="Times New Roman"/>
          <w:sz w:val="24"/>
          <w:szCs w:val="24"/>
        </w:rPr>
        <w:t xml:space="preserve"> segment</w:t>
      </w:r>
      <w:r w:rsidR="00E86E5F">
        <w:rPr>
          <w:rFonts w:ascii="Times New Roman" w:hAnsi="Times New Roman" w:cs="Times New Roman"/>
          <w:sz w:val="24"/>
          <w:szCs w:val="24"/>
        </w:rPr>
        <w:t xml:space="preserve"> (whether RML or </w:t>
      </w:r>
      <w:proofErr w:type="spellStart"/>
      <w:r w:rsidR="00E86E5F">
        <w:rPr>
          <w:rFonts w:ascii="Times New Roman" w:hAnsi="Times New Roman" w:cs="Times New Roman"/>
          <w:sz w:val="24"/>
          <w:szCs w:val="24"/>
        </w:rPr>
        <w:t>lingula</w:t>
      </w:r>
      <w:proofErr w:type="spellEnd"/>
      <w:r w:rsidR="00E86E5F">
        <w:rPr>
          <w:rFonts w:ascii="Times New Roman" w:hAnsi="Times New Roman" w:cs="Times New Roman"/>
          <w:sz w:val="24"/>
          <w:szCs w:val="24"/>
        </w:rPr>
        <w:t xml:space="preserve"> was randomized). The contralateral side (RML or </w:t>
      </w:r>
      <w:proofErr w:type="spellStart"/>
      <w:r w:rsidR="00E86E5F">
        <w:rPr>
          <w:rFonts w:ascii="Times New Roman" w:hAnsi="Times New Roman" w:cs="Times New Roman"/>
          <w:sz w:val="24"/>
          <w:szCs w:val="24"/>
        </w:rPr>
        <w:t>lingula</w:t>
      </w:r>
      <w:proofErr w:type="spellEnd"/>
      <w:r w:rsidR="00E86E5F">
        <w:rPr>
          <w:rFonts w:ascii="Times New Roman" w:hAnsi="Times New Roman" w:cs="Times New Roman"/>
          <w:sz w:val="24"/>
          <w:szCs w:val="24"/>
        </w:rPr>
        <w:t xml:space="preserve">) received </w:t>
      </w:r>
      <w:r w:rsidR="00E86E5F" w:rsidRPr="00DD5517">
        <w:rPr>
          <w:rFonts w:ascii="Times New Roman" w:hAnsi="Times New Roman" w:cs="Times New Roman"/>
          <w:sz w:val="24"/>
          <w:szCs w:val="24"/>
        </w:rPr>
        <w:t>a 5 mL diluent control</w:t>
      </w:r>
      <w:r w:rsidR="00CA24E7" w:rsidRPr="00DD5517">
        <w:rPr>
          <w:rFonts w:ascii="Times New Roman" w:hAnsi="Times New Roman" w:cs="Times New Roman"/>
          <w:sz w:val="24"/>
          <w:szCs w:val="24"/>
        </w:rPr>
        <w:t xml:space="preserve">. The locations </w:t>
      </w:r>
      <w:r w:rsidR="00CA24E7" w:rsidRPr="00DD5517">
        <w:rPr>
          <w:rFonts w:ascii="Times New Roman" w:hAnsi="Times New Roman" w:cs="Times New Roman"/>
          <w:sz w:val="24"/>
          <w:szCs w:val="24"/>
        </w:rPr>
        <w:lastRenderedPageBreak/>
        <w:t xml:space="preserve">of the segments used for instillation were carefully recorded by photo to ensure the same segments were sampled at the 2nd bronchoscopy. DE exposure preceded allergen instillation to avoid the possibility that starting with segmental allergen would lead to acute segmental bronchoconstriction and thus decreased deposition of diesel particulate matter within that segment. 48 hours after allergen challenge, bronchial wash (BW; the return from the first 40 cc [20 + 20] instilled saline, which </w:t>
      </w:r>
      <w:r w:rsidR="00CA24E7" w:rsidRPr="00DD5517">
        <w:rPr>
          <w:rFonts w:ascii="Times New Roman" w:hAnsi="Times New Roman" w:cs="Times New Roman"/>
          <w:sz w:val="24"/>
          <w:szCs w:val="24"/>
          <w:lang w:eastAsia="en-CA"/>
        </w:rPr>
        <w:t xml:space="preserve">averaged 17.0 mL) </w:t>
      </w:r>
      <w:r w:rsidR="00CA24E7" w:rsidRPr="00DD5517">
        <w:rPr>
          <w:rFonts w:ascii="Times New Roman" w:hAnsi="Times New Roman" w:cs="Times New Roman"/>
          <w:sz w:val="24"/>
          <w:szCs w:val="24"/>
        </w:rPr>
        <w:t>and bronchoalveolar lavage (BAL; the return from the following 100 cc [50 + 50] instilled saline, which averaged 54 mL) were obtained in the same segments (allergen- and saline-exposed)</w:t>
      </w:r>
      <w:r w:rsidR="00E86E5F">
        <w:rPr>
          <w:rFonts w:ascii="Times New Roman" w:hAnsi="Times New Roman" w:cs="Times New Roman"/>
          <w:sz w:val="24"/>
          <w:szCs w:val="24"/>
        </w:rPr>
        <w:t>,</w:t>
      </w:r>
      <w:r w:rsidR="00CA24E7" w:rsidRPr="00DD5517">
        <w:rPr>
          <w:rFonts w:ascii="Times New Roman" w:hAnsi="Times New Roman" w:cs="Times New Roman"/>
          <w:sz w:val="24"/>
          <w:szCs w:val="24"/>
        </w:rPr>
        <w:t xml:space="preserve"> for laboratory analysis. </w:t>
      </w:r>
      <w:r w:rsidR="00E86E5F">
        <w:rPr>
          <w:rFonts w:ascii="Times New Roman" w:hAnsi="Times New Roman" w:cs="Times New Roman"/>
          <w:sz w:val="24"/>
          <w:szCs w:val="24"/>
        </w:rPr>
        <w:t xml:space="preserve">The side (RML or </w:t>
      </w:r>
      <w:proofErr w:type="spellStart"/>
      <w:r w:rsidR="00E86E5F">
        <w:rPr>
          <w:rFonts w:ascii="Times New Roman" w:hAnsi="Times New Roman" w:cs="Times New Roman"/>
          <w:sz w:val="24"/>
          <w:szCs w:val="24"/>
        </w:rPr>
        <w:t>lingula</w:t>
      </w:r>
      <w:proofErr w:type="spellEnd"/>
      <w:r w:rsidR="00E86E5F">
        <w:rPr>
          <w:rFonts w:ascii="Times New Roman" w:hAnsi="Times New Roman" w:cs="Times New Roman"/>
          <w:sz w:val="24"/>
          <w:szCs w:val="24"/>
        </w:rPr>
        <w:t>) or allergen and saline installations</w:t>
      </w:r>
      <w:r w:rsidR="00CA24E7" w:rsidRPr="00DD5517">
        <w:rPr>
          <w:rFonts w:ascii="Times New Roman" w:hAnsi="Times New Roman" w:cs="Times New Roman"/>
          <w:sz w:val="24"/>
          <w:szCs w:val="24"/>
        </w:rPr>
        <w:t xml:space="preserve"> </w:t>
      </w:r>
      <w:proofErr w:type="gramStart"/>
      <w:r w:rsidR="00E86E5F" w:rsidRPr="00DD5517">
        <w:rPr>
          <w:rFonts w:ascii="Times New Roman" w:hAnsi="Times New Roman" w:cs="Times New Roman"/>
          <w:sz w:val="24"/>
          <w:szCs w:val="24"/>
        </w:rPr>
        <w:t>w</w:t>
      </w:r>
      <w:r w:rsidR="00E86E5F">
        <w:rPr>
          <w:rFonts w:ascii="Times New Roman" w:hAnsi="Times New Roman" w:cs="Times New Roman"/>
          <w:sz w:val="24"/>
          <w:szCs w:val="24"/>
        </w:rPr>
        <w:t>as</w:t>
      </w:r>
      <w:proofErr w:type="gramEnd"/>
      <w:r w:rsidR="00E86E5F" w:rsidRPr="00DD5517">
        <w:rPr>
          <w:rFonts w:ascii="Times New Roman" w:hAnsi="Times New Roman" w:cs="Times New Roman"/>
          <w:sz w:val="24"/>
          <w:szCs w:val="24"/>
        </w:rPr>
        <w:t xml:space="preserve"> </w:t>
      </w:r>
      <w:r w:rsidR="00CA24E7" w:rsidRPr="00DD5517">
        <w:rPr>
          <w:rFonts w:ascii="Times New Roman" w:hAnsi="Times New Roman" w:cs="Times New Roman"/>
          <w:sz w:val="24"/>
          <w:szCs w:val="24"/>
        </w:rPr>
        <w:t>reversed in the post-washout bronchoscopy and sampling (“</w:t>
      </w:r>
      <w:proofErr w:type="spellStart"/>
      <w:r w:rsidR="00CA24E7" w:rsidRPr="00DD5517">
        <w:rPr>
          <w:rFonts w:ascii="Times New Roman" w:hAnsi="Times New Roman" w:cs="Times New Roman"/>
          <w:sz w:val="24"/>
          <w:szCs w:val="24"/>
        </w:rPr>
        <w:t>Bronch</w:t>
      </w:r>
      <w:proofErr w:type="spellEnd"/>
      <w:r w:rsidR="00CA24E7" w:rsidRPr="00DD5517">
        <w:rPr>
          <w:rFonts w:ascii="Times New Roman" w:hAnsi="Times New Roman" w:cs="Times New Roman"/>
          <w:sz w:val="24"/>
          <w:szCs w:val="24"/>
        </w:rPr>
        <w:t xml:space="preserve"> 3” and “</w:t>
      </w:r>
      <w:proofErr w:type="spellStart"/>
      <w:r w:rsidR="00CA24E7" w:rsidRPr="00DD5517">
        <w:rPr>
          <w:rFonts w:ascii="Times New Roman" w:hAnsi="Times New Roman" w:cs="Times New Roman"/>
          <w:sz w:val="24"/>
          <w:szCs w:val="24"/>
        </w:rPr>
        <w:t>Bronch</w:t>
      </w:r>
      <w:proofErr w:type="spellEnd"/>
      <w:r w:rsidR="00CA24E7" w:rsidRPr="00DD5517">
        <w:rPr>
          <w:rFonts w:ascii="Times New Roman" w:hAnsi="Times New Roman" w:cs="Times New Roman"/>
          <w:sz w:val="24"/>
          <w:szCs w:val="24"/>
        </w:rPr>
        <w:t xml:space="preserve"> 4” in Figure 2)</w:t>
      </w:r>
      <w:r w:rsidR="00E86E5F">
        <w:rPr>
          <w:rFonts w:ascii="Times New Roman" w:hAnsi="Times New Roman" w:cs="Times New Roman"/>
          <w:sz w:val="24"/>
          <w:szCs w:val="24"/>
        </w:rPr>
        <w:t xml:space="preserve"> and different segments were used (for example, if RML medial segment was used in </w:t>
      </w:r>
      <w:proofErr w:type="spellStart"/>
      <w:r w:rsidR="00E86E5F">
        <w:rPr>
          <w:rFonts w:ascii="Times New Roman" w:hAnsi="Times New Roman" w:cs="Times New Roman"/>
          <w:sz w:val="24"/>
          <w:szCs w:val="24"/>
        </w:rPr>
        <w:t>Bronchs</w:t>
      </w:r>
      <w:proofErr w:type="spellEnd"/>
      <w:r w:rsidR="00E86E5F">
        <w:rPr>
          <w:rFonts w:ascii="Times New Roman" w:hAnsi="Times New Roman" w:cs="Times New Roman"/>
          <w:sz w:val="24"/>
          <w:szCs w:val="24"/>
        </w:rPr>
        <w:t xml:space="preserve"> 1 and 2, RML lateral segment was used in </w:t>
      </w:r>
      <w:proofErr w:type="spellStart"/>
      <w:r w:rsidR="00E86E5F">
        <w:rPr>
          <w:rFonts w:ascii="Times New Roman" w:hAnsi="Times New Roman" w:cs="Times New Roman"/>
          <w:sz w:val="24"/>
          <w:szCs w:val="24"/>
        </w:rPr>
        <w:t>Bronchs</w:t>
      </w:r>
      <w:proofErr w:type="spellEnd"/>
      <w:r w:rsidR="00E86E5F">
        <w:rPr>
          <w:rFonts w:ascii="Times New Roman" w:hAnsi="Times New Roman" w:cs="Times New Roman"/>
          <w:sz w:val="24"/>
          <w:szCs w:val="24"/>
        </w:rPr>
        <w:t xml:space="preserve"> 3 and 4</w:t>
      </w:r>
      <w:r w:rsidR="0002663B">
        <w:rPr>
          <w:rFonts w:ascii="Times New Roman" w:hAnsi="Times New Roman" w:cs="Times New Roman"/>
          <w:sz w:val="24"/>
          <w:szCs w:val="24"/>
        </w:rPr>
        <w:t>)</w:t>
      </w:r>
      <w:r w:rsidR="00CA24E7" w:rsidRPr="00DD5517">
        <w:rPr>
          <w:rFonts w:ascii="Times New Roman" w:hAnsi="Times New Roman" w:cs="Times New Roman"/>
          <w:sz w:val="24"/>
          <w:szCs w:val="24"/>
        </w:rPr>
        <w:t xml:space="preserve">. </w:t>
      </w:r>
      <w:proofErr w:type="spellStart"/>
      <w:r w:rsidR="006029ED">
        <w:rPr>
          <w:rFonts w:ascii="Times New Roman" w:hAnsi="Times New Roman" w:cs="Times New Roman"/>
          <w:sz w:val="24"/>
          <w:szCs w:val="24"/>
        </w:rPr>
        <w:t>Spirometry</w:t>
      </w:r>
      <w:proofErr w:type="spellEnd"/>
      <w:r w:rsidR="006029ED">
        <w:rPr>
          <w:rFonts w:ascii="Times New Roman" w:hAnsi="Times New Roman" w:cs="Times New Roman"/>
          <w:sz w:val="24"/>
          <w:szCs w:val="24"/>
        </w:rPr>
        <w:t xml:space="preserve"> was followed at </w:t>
      </w:r>
      <w:r w:rsidR="006029ED" w:rsidRPr="00AA3C9E">
        <w:rPr>
          <w:rFonts w:ascii="Times New Roman" w:hAnsi="Times New Roman" w:cs="Times New Roman"/>
          <w:sz w:val="24"/>
          <w:szCs w:val="24"/>
        </w:rPr>
        <w:t>intervals (</w:t>
      </w:r>
      <w:r w:rsidR="00AA3C9E" w:rsidRPr="00AA3C9E">
        <w:rPr>
          <w:rFonts w:ascii="Times New Roman" w:hAnsi="Times New Roman" w:cs="Times New Roman"/>
          <w:sz w:val="24"/>
          <w:szCs w:val="24"/>
        </w:rPr>
        <w:t>1, 2, 3, 4 and 24 hours after exposure</w:t>
      </w:r>
      <w:r w:rsidR="006029ED" w:rsidRPr="00AA3C9E">
        <w:rPr>
          <w:rFonts w:ascii="Times New Roman" w:hAnsi="Times New Roman" w:cs="Times New Roman"/>
          <w:sz w:val="24"/>
          <w:szCs w:val="24"/>
        </w:rPr>
        <w:t>) but these data were intended primarily for safety rather than</w:t>
      </w:r>
      <w:r w:rsidR="006029ED">
        <w:rPr>
          <w:rFonts w:ascii="Times New Roman" w:hAnsi="Times New Roman" w:cs="Times New Roman"/>
          <w:sz w:val="24"/>
          <w:szCs w:val="24"/>
        </w:rPr>
        <w:t xml:space="preserve"> data analysis and are not otherwise presented here. </w:t>
      </w:r>
    </w:p>
    <w:p w14:paraId="37359CB6" w14:textId="77777777" w:rsidR="005B5201" w:rsidRDefault="005B5201" w:rsidP="0080383F">
      <w:pPr>
        <w:widowControl/>
        <w:tabs>
          <w:tab w:val="left" w:pos="4449"/>
        </w:tabs>
        <w:autoSpaceDE/>
        <w:autoSpaceDN/>
        <w:adjustRightInd/>
        <w:spacing w:line="480" w:lineRule="auto"/>
        <w:rPr>
          <w:rFonts w:ascii="Times New Roman" w:hAnsi="Times New Roman" w:cs="Times New Roman"/>
          <w:sz w:val="24"/>
          <w:szCs w:val="24"/>
        </w:rPr>
      </w:pPr>
    </w:p>
    <w:p w14:paraId="3D467753" w14:textId="77777777" w:rsidR="000163D1" w:rsidRPr="0080383F" w:rsidRDefault="000163D1" w:rsidP="0080383F">
      <w:pPr>
        <w:widowControl/>
        <w:tabs>
          <w:tab w:val="left" w:pos="4449"/>
        </w:tabs>
        <w:autoSpaceDE/>
        <w:autoSpaceDN/>
        <w:adjustRightInd/>
        <w:spacing w:line="480" w:lineRule="auto"/>
        <w:rPr>
          <w:rFonts w:ascii="Times New Roman" w:hAnsi="Times New Roman" w:cs="Times New Roman"/>
          <w:sz w:val="24"/>
          <w:szCs w:val="24"/>
        </w:rPr>
      </w:pPr>
      <w:r w:rsidRPr="0080383F">
        <w:rPr>
          <w:rFonts w:ascii="Times New Roman" w:hAnsi="Times New Roman" w:cs="Times New Roman"/>
          <w:sz w:val="24"/>
          <w:szCs w:val="24"/>
        </w:rPr>
        <w:t>Given our hypothesis, we considered a four-level ordered factor and fit orthogonal polynomial contrasts. We proceeded with “ordinal effect” analysis only if diesel or allergen effect was p&lt;0.1. Accordingly, ordinal effect results are NA (not applicable) in Tables III-V when diesel and allergen p-value were both greater than 0.1. Orthogonal polynomial contrasts allowed us to test the factor for polynomial patterns in the group means (linear, quadratic and cubic). If the linear pattern was not significant, then we concluded that there was no evidence supporting the hypothesized order, and the ordinal effect was reported as non-significant. If the linear pattern was significant while the quadratic and cubic patterns were not, then there was no evidence against the hypothesized order and we could adequately represent the factor with a line; such cases are considered to have an ordinal effect and the linear p-value is reported.</w:t>
      </w:r>
    </w:p>
    <w:p w14:paraId="535C8477" w14:textId="77777777" w:rsidR="0080383F" w:rsidRPr="0080383F" w:rsidRDefault="0080383F" w:rsidP="0080383F">
      <w:pPr>
        <w:widowControl/>
        <w:tabs>
          <w:tab w:val="left" w:pos="4449"/>
        </w:tabs>
        <w:autoSpaceDE/>
        <w:autoSpaceDN/>
        <w:adjustRightInd/>
        <w:spacing w:line="480" w:lineRule="auto"/>
        <w:rPr>
          <w:rFonts w:ascii="Times New Roman" w:hAnsi="Times New Roman" w:cs="Times New Roman"/>
          <w:sz w:val="24"/>
          <w:szCs w:val="24"/>
        </w:rPr>
      </w:pPr>
    </w:p>
    <w:p w14:paraId="1F52B6DA" w14:textId="77777777" w:rsidR="00F239A1" w:rsidRDefault="00F239A1">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33D9912" w14:textId="77777777" w:rsidR="00F239A1" w:rsidRPr="007507F5" w:rsidRDefault="00CA24E7" w:rsidP="00F239A1">
      <w:pPr>
        <w:rPr>
          <w:rFonts w:ascii="Times New Roman" w:hAnsi="Times New Roman"/>
          <w:sz w:val="24"/>
          <w:szCs w:val="24"/>
        </w:rPr>
      </w:pPr>
      <w:r w:rsidRPr="00AC600C">
        <w:rPr>
          <w:rFonts w:ascii="Times New Roman" w:hAnsi="Times New Roman"/>
          <w:b/>
          <w:sz w:val="24"/>
          <w:szCs w:val="24"/>
        </w:rPr>
        <w:lastRenderedPageBreak/>
        <w:t xml:space="preserve">Table E1. Markers and </w:t>
      </w:r>
      <w:proofErr w:type="spellStart"/>
      <w:r w:rsidRPr="00AC600C">
        <w:rPr>
          <w:rFonts w:ascii="Times New Roman" w:hAnsi="Times New Roman"/>
          <w:b/>
          <w:sz w:val="24"/>
          <w:szCs w:val="24"/>
        </w:rPr>
        <w:t>flurophores</w:t>
      </w:r>
      <w:proofErr w:type="spellEnd"/>
      <w:r w:rsidRPr="00AC600C">
        <w:rPr>
          <w:rFonts w:ascii="Times New Roman" w:hAnsi="Times New Roman"/>
          <w:b/>
          <w:sz w:val="24"/>
          <w:szCs w:val="24"/>
        </w:rPr>
        <w:t xml:space="preserve"> used in flow cytometry for T-cell subsets, eosinophil, and dendritic cell characterization and activation</w:t>
      </w:r>
      <w:r w:rsidR="00F239A1" w:rsidRPr="007507F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1870"/>
        <w:gridCol w:w="1870"/>
        <w:gridCol w:w="1870"/>
        <w:gridCol w:w="1870"/>
      </w:tblGrid>
      <w:tr w:rsidR="00F239A1" w:rsidRPr="00DA56B2" w14:paraId="3F346F95" w14:textId="77777777" w:rsidTr="003E4CF9">
        <w:tc>
          <w:tcPr>
            <w:tcW w:w="1870" w:type="dxa"/>
          </w:tcPr>
          <w:p w14:paraId="2D261325" w14:textId="77777777" w:rsidR="00F239A1" w:rsidRPr="00DA56B2" w:rsidRDefault="00F239A1" w:rsidP="003E4CF9">
            <w:pPr>
              <w:rPr>
                <w:rFonts w:ascii="Times New Roman" w:hAnsi="Times New Roman"/>
                <w:b/>
                <w:sz w:val="24"/>
                <w:szCs w:val="24"/>
              </w:rPr>
            </w:pPr>
            <w:proofErr w:type="spellStart"/>
            <w:r w:rsidRPr="00DA56B2">
              <w:rPr>
                <w:rFonts w:ascii="Times New Roman" w:hAnsi="Times New Roman"/>
                <w:b/>
                <w:sz w:val="24"/>
                <w:szCs w:val="24"/>
              </w:rPr>
              <w:t>Fluorophore</w:t>
            </w:r>
            <w:proofErr w:type="spellEnd"/>
          </w:p>
        </w:tc>
        <w:tc>
          <w:tcPr>
            <w:tcW w:w="1870" w:type="dxa"/>
          </w:tcPr>
          <w:p w14:paraId="28B9307C" w14:textId="77777777" w:rsidR="00F239A1" w:rsidRPr="00DA56B2" w:rsidRDefault="00F239A1" w:rsidP="003E4CF9">
            <w:pPr>
              <w:rPr>
                <w:rFonts w:ascii="Times New Roman" w:hAnsi="Times New Roman"/>
                <w:b/>
                <w:sz w:val="24"/>
                <w:szCs w:val="24"/>
              </w:rPr>
            </w:pPr>
            <w:r w:rsidRPr="00DA56B2">
              <w:rPr>
                <w:rFonts w:ascii="Times New Roman" w:hAnsi="Times New Roman"/>
                <w:b/>
                <w:sz w:val="24"/>
                <w:szCs w:val="24"/>
              </w:rPr>
              <w:t>T-cells</w:t>
            </w:r>
          </w:p>
        </w:tc>
        <w:tc>
          <w:tcPr>
            <w:tcW w:w="1870" w:type="dxa"/>
          </w:tcPr>
          <w:p w14:paraId="6385C7CE" w14:textId="77777777" w:rsidR="00F239A1" w:rsidRPr="00DA56B2" w:rsidRDefault="00F239A1" w:rsidP="003E4CF9">
            <w:pPr>
              <w:rPr>
                <w:rFonts w:ascii="Times New Roman" w:hAnsi="Times New Roman"/>
                <w:b/>
                <w:sz w:val="24"/>
                <w:szCs w:val="24"/>
              </w:rPr>
            </w:pPr>
            <w:r w:rsidRPr="00DA56B2">
              <w:rPr>
                <w:rFonts w:ascii="Times New Roman" w:hAnsi="Times New Roman"/>
                <w:b/>
                <w:sz w:val="24"/>
                <w:szCs w:val="24"/>
              </w:rPr>
              <w:t>Tregs</w:t>
            </w:r>
          </w:p>
        </w:tc>
        <w:tc>
          <w:tcPr>
            <w:tcW w:w="1870" w:type="dxa"/>
          </w:tcPr>
          <w:p w14:paraId="1E4F23F9" w14:textId="77777777" w:rsidR="00F239A1" w:rsidRPr="00DA56B2" w:rsidRDefault="00F239A1" w:rsidP="003E4CF9">
            <w:pPr>
              <w:rPr>
                <w:rFonts w:ascii="Times New Roman" w:hAnsi="Times New Roman"/>
                <w:b/>
                <w:sz w:val="24"/>
                <w:szCs w:val="24"/>
              </w:rPr>
            </w:pPr>
            <w:r w:rsidRPr="00DA56B2">
              <w:rPr>
                <w:rFonts w:ascii="Times New Roman" w:hAnsi="Times New Roman"/>
                <w:b/>
                <w:sz w:val="24"/>
                <w:szCs w:val="24"/>
              </w:rPr>
              <w:t>Eosinophils</w:t>
            </w:r>
          </w:p>
        </w:tc>
        <w:tc>
          <w:tcPr>
            <w:tcW w:w="1870" w:type="dxa"/>
          </w:tcPr>
          <w:p w14:paraId="5D23BDC7" w14:textId="77777777" w:rsidR="00F239A1" w:rsidRPr="00DA56B2" w:rsidRDefault="00F239A1" w:rsidP="003E4CF9">
            <w:pPr>
              <w:rPr>
                <w:rFonts w:ascii="Times New Roman" w:hAnsi="Times New Roman"/>
                <w:b/>
                <w:sz w:val="24"/>
                <w:szCs w:val="24"/>
              </w:rPr>
            </w:pPr>
            <w:r w:rsidRPr="00DA56B2">
              <w:rPr>
                <w:rFonts w:ascii="Times New Roman" w:hAnsi="Times New Roman"/>
                <w:b/>
                <w:sz w:val="24"/>
                <w:szCs w:val="24"/>
              </w:rPr>
              <w:t>DCs</w:t>
            </w:r>
          </w:p>
        </w:tc>
      </w:tr>
      <w:tr w:rsidR="00F239A1" w:rsidRPr="00DA56B2" w14:paraId="6761EF16" w14:textId="77777777" w:rsidTr="003E4CF9">
        <w:tc>
          <w:tcPr>
            <w:tcW w:w="1870" w:type="dxa"/>
          </w:tcPr>
          <w:p w14:paraId="59A97D5F"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FITC</w:t>
            </w:r>
          </w:p>
        </w:tc>
        <w:tc>
          <w:tcPr>
            <w:tcW w:w="1870" w:type="dxa"/>
          </w:tcPr>
          <w:p w14:paraId="563B81F9"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w:t>
            </w:r>
          </w:p>
        </w:tc>
        <w:tc>
          <w:tcPr>
            <w:tcW w:w="1870" w:type="dxa"/>
          </w:tcPr>
          <w:p w14:paraId="43F60CD7"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w:t>
            </w:r>
          </w:p>
        </w:tc>
        <w:tc>
          <w:tcPr>
            <w:tcW w:w="1870" w:type="dxa"/>
          </w:tcPr>
          <w:p w14:paraId="515776B6"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CD16</w:t>
            </w:r>
          </w:p>
        </w:tc>
        <w:tc>
          <w:tcPr>
            <w:tcW w:w="1870" w:type="dxa"/>
          </w:tcPr>
          <w:p w14:paraId="2371FF75"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Lin-1 (CD3, CD14, CD16, CD19, CD20, CD56)</w:t>
            </w:r>
          </w:p>
        </w:tc>
      </w:tr>
      <w:tr w:rsidR="00F239A1" w:rsidRPr="00DA56B2" w14:paraId="04621FF8" w14:textId="77777777" w:rsidTr="003E4CF9">
        <w:tc>
          <w:tcPr>
            <w:tcW w:w="1870" w:type="dxa"/>
          </w:tcPr>
          <w:p w14:paraId="331E190D"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PE</w:t>
            </w:r>
          </w:p>
        </w:tc>
        <w:tc>
          <w:tcPr>
            <w:tcW w:w="1870" w:type="dxa"/>
          </w:tcPr>
          <w:p w14:paraId="24B3DD71"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CD19</w:t>
            </w:r>
          </w:p>
        </w:tc>
        <w:tc>
          <w:tcPr>
            <w:tcW w:w="1870" w:type="dxa"/>
          </w:tcPr>
          <w:p w14:paraId="23430A19"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FoxP3</w:t>
            </w:r>
          </w:p>
        </w:tc>
        <w:tc>
          <w:tcPr>
            <w:tcW w:w="1870" w:type="dxa"/>
          </w:tcPr>
          <w:p w14:paraId="5DE736F3"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CD9</w:t>
            </w:r>
          </w:p>
        </w:tc>
        <w:tc>
          <w:tcPr>
            <w:tcW w:w="1870" w:type="dxa"/>
          </w:tcPr>
          <w:p w14:paraId="0A33E844" w14:textId="77777777" w:rsidR="00F239A1" w:rsidRPr="00DA56B2" w:rsidRDefault="00F239A1" w:rsidP="003E4CF9">
            <w:pPr>
              <w:rPr>
                <w:rFonts w:ascii="Times New Roman" w:hAnsi="Times New Roman"/>
                <w:sz w:val="24"/>
                <w:szCs w:val="24"/>
              </w:rPr>
            </w:pPr>
          </w:p>
        </w:tc>
      </w:tr>
      <w:tr w:rsidR="00F239A1" w:rsidRPr="00DA56B2" w14:paraId="1AFE5F90" w14:textId="77777777" w:rsidTr="003E4CF9">
        <w:tc>
          <w:tcPr>
            <w:tcW w:w="1870" w:type="dxa"/>
          </w:tcPr>
          <w:p w14:paraId="43712777"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PerCP-Cy5.5</w:t>
            </w:r>
          </w:p>
        </w:tc>
        <w:tc>
          <w:tcPr>
            <w:tcW w:w="1870" w:type="dxa"/>
          </w:tcPr>
          <w:p w14:paraId="6703C6D0"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CD3</w:t>
            </w:r>
          </w:p>
        </w:tc>
        <w:tc>
          <w:tcPr>
            <w:tcW w:w="1870" w:type="dxa"/>
          </w:tcPr>
          <w:p w14:paraId="16EEF773"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CD3</w:t>
            </w:r>
          </w:p>
        </w:tc>
        <w:tc>
          <w:tcPr>
            <w:tcW w:w="1870" w:type="dxa"/>
          </w:tcPr>
          <w:p w14:paraId="6897C11B" w14:textId="77777777" w:rsidR="00F239A1" w:rsidRPr="00DA56B2" w:rsidRDefault="00F239A1" w:rsidP="003E4CF9">
            <w:pPr>
              <w:rPr>
                <w:rFonts w:ascii="Times New Roman" w:hAnsi="Times New Roman"/>
                <w:sz w:val="24"/>
                <w:szCs w:val="24"/>
              </w:rPr>
            </w:pPr>
          </w:p>
        </w:tc>
        <w:tc>
          <w:tcPr>
            <w:tcW w:w="1870" w:type="dxa"/>
          </w:tcPr>
          <w:p w14:paraId="20D809D8"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CD123</w:t>
            </w:r>
          </w:p>
        </w:tc>
      </w:tr>
      <w:tr w:rsidR="00F239A1" w:rsidRPr="00DA56B2" w14:paraId="31A0E189" w14:textId="77777777" w:rsidTr="003E4CF9">
        <w:tc>
          <w:tcPr>
            <w:tcW w:w="1870" w:type="dxa"/>
          </w:tcPr>
          <w:p w14:paraId="2BA4E4B7"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PE-Cy7</w:t>
            </w:r>
          </w:p>
        </w:tc>
        <w:tc>
          <w:tcPr>
            <w:tcW w:w="1870" w:type="dxa"/>
          </w:tcPr>
          <w:p w14:paraId="6FE70C4E"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CD69</w:t>
            </w:r>
          </w:p>
        </w:tc>
        <w:tc>
          <w:tcPr>
            <w:tcW w:w="1870" w:type="dxa"/>
          </w:tcPr>
          <w:p w14:paraId="0DD005A6"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CD69</w:t>
            </w:r>
          </w:p>
        </w:tc>
        <w:tc>
          <w:tcPr>
            <w:tcW w:w="1870" w:type="dxa"/>
          </w:tcPr>
          <w:p w14:paraId="007567C8"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HLA-DR</w:t>
            </w:r>
          </w:p>
        </w:tc>
        <w:tc>
          <w:tcPr>
            <w:tcW w:w="1870" w:type="dxa"/>
          </w:tcPr>
          <w:p w14:paraId="331B1928"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HLA-DR</w:t>
            </w:r>
          </w:p>
        </w:tc>
      </w:tr>
      <w:tr w:rsidR="00F239A1" w:rsidRPr="00DA56B2" w14:paraId="3E465C31" w14:textId="77777777" w:rsidTr="003E4CF9">
        <w:tc>
          <w:tcPr>
            <w:tcW w:w="1870" w:type="dxa"/>
          </w:tcPr>
          <w:p w14:paraId="03F9071F"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APC</w:t>
            </w:r>
          </w:p>
        </w:tc>
        <w:tc>
          <w:tcPr>
            <w:tcW w:w="1870" w:type="dxa"/>
          </w:tcPr>
          <w:p w14:paraId="0392F0E4" w14:textId="77777777" w:rsidR="00F239A1" w:rsidRPr="00DA56B2" w:rsidRDefault="00F239A1" w:rsidP="003E4CF9">
            <w:pPr>
              <w:rPr>
                <w:rFonts w:ascii="Times New Roman" w:hAnsi="Times New Roman"/>
                <w:sz w:val="24"/>
                <w:szCs w:val="24"/>
              </w:rPr>
            </w:pPr>
          </w:p>
        </w:tc>
        <w:tc>
          <w:tcPr>
            <w:tcW w:w="1870" w:type="dxa"/>
          </w:tcPr>
          <w:p w14:paraId="373014A3"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CD25</w:t>
            </w:r>
          </w:p>
        </w:tc>
        <w:tc>
          <w:tcPr>
            <w:tcW w:w="1870" w:type="dxa"/>
          </w:tcPr>
          <w:p w14:paraId="4A947D14"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CCR3</w:t>
            </w:r>
          </w:p>
        </w:tc>
        <w:tc>
          <w:tcPr>
            <w:tcW w:w="1870" w:type="dxa"/>
          </w:tcPr>
          <w:p w14:paraId="3D8F51EA"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CD86</w:t>
            </w:r>
          </w:p>
        </w:tc>
      </w:tr>
      <w:tr w:rsidR="00F239A1" w:rsidRPr="00DA56B2" w14:paraId="370F492D" w14:textId="77777777" w:rsidTr="003E4CF9">
        <w:tc>
          <w:tcPr>
            <w:tcW w:w="1870" w:type="dxa"/>
          </w:tcPr>
          <w:p w14:paraId="2C4BAA01"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APC-Cy7</w:t>
            </w:r>
          </w:p>
        </w:tc>
        <w:tc>
          <w:tcPr>
            <w:tcW w:w="1870" w:type="dxa"/>
          </w:tcPr>
          <w:p w14:paraId="6DC5B8E9"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CD45</w:t>
            </w:r>
          </w:p>
        </w:tc>
        <w:tc>
          <w:tcPr>
            <w:tcW w:w="1870" w:type="dxa"/>
          </w:tcPr>
          <w:p w14:paraId="5553A699"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CD45</w:t>
            </w:r>
          </w:p>
        </w:tc>
        <w:tc>
          <w:tcPr>
            <w:tcW w:w="1870" w:type="dxa"/>
          </w:tcPr>
          <w:p w14:paraId="052B216A"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CD45</w:t>
            </w:r>
          </w:p>
        </w:tc>
        <w:tc>
          <w:tcPr>
            <w:tcW w:w="1870" w:type="dxa"/>
          </w:tcPr>
          <w:p w14:paraId="62AD8D36"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CD45</w:t>
            </w:r>
          </w:p>
        </w:tc>
      </w:tr>
      <w:tr w:rsidR="00F239A1" w:rsidRPr="00DA56B2" w14:paraId="48D1FD00" w14:textId="77777777" w:rsidTr="003E4CF9">
        <w:tc>
          <w:tcPr>
            <w:tcW w:w="1870" w:type="dxa"/>
          </w:tcPr>
          <w:p w14:paraId="60772727"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V450</w:t>
            </w:r>
          </w:p>
        </w:tc>
        <w:tc>
          <w:tcPr>
            <w:tcW w:w="1870" w:type="dxa"/>
          </w:tcPr>
          <w:p w14:paraId="5625DAE8"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CD8</w:t>
            </w:r>
          </w:p>
        </w:tc>
        <w:tc>
          <w:tcPr>
            <w:tcW w:w="1870" w:type="dxa"/>
          </w:tcPr>
          <w:p w14:paraId="054BEB06"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CD45RA</w:t>
            </w:r>
          </w:p>
        </w:tc>
        <w:tc>
          <w:tcPr>
            <w:tcW w:w="1870" w:type="dxa"/>
          </w:tcPr>
          <w:p w14:paraId="4C83F881"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CD69</w:t>
            </w:r>
          </w:p>
        </w:tc>
        <w:tc>
          <w:tcPr>
            <w:tcW w:w="1870" w:type="dxa"/>
          </w:tcPr>
          <w:p w14:paraId="7DE156F5"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CD11c</w:t>
            </w:r>
          </w:p>
        </w:tc>
      </w:tr>
      <w:tr w:rsidR="00F239A1" w:rsidRPr="00DA56B2" w14:paraId="48EC5D77" w14:textId="77777777" w:rsidTr="003E4CF9">
        <w:tc>
          <w:tcPr>
            <w:tcW w:w="1870" w:type="dxa"/>
          </w:tcPr>
          <w:p w14:paraId="3AE3B68D" w14:textId="77777777" w:rsidR="00F239A1" w:rsidRPr="00DA56B2" w:rsidRDefault="00F239A1" w:rsidP="003E4CF9">
            <w:pPr>
              <w:rPr>
                <w:rFonts w:ascii="Times New Roman" w:hAnsi="Times New Roman"/>
                <w:sz w:val="24"/>
                <w:szCs w:val="24"/>
              </w:rPr>
            </w:pPr>
          </w:p>
        </w:tc>
        <w:tc>
          <w:tcPr>
            <w:tcW w:w="1870" w:type="dxa"/>
          </w:tcPr>
          <w:p w14:paraId="4CDF18FC"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T-cells were identified as CD3+. Cytotoxic T-cells were CD8-positive and CD4-negative. T-helper cells were CD4-positive and CD8-negative.</w:t>
            </w:r>
          </w:p>
        </w:tc>
        <w:tc>
          <w:tcPr>
            <w:tcW w:w="1870" w:type="dxa"/>
          </w:tcPr>
          <w:p w14:paraId="25CE6C9E"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CD3-positive, CD4-positive and FoxP3-high</w:t>
            </w:r>
          </w:p>
        </w:tc>
        <w:tc>
          <w:tcPr>
            <w:tcW w:w="1870" w:type="dxa"/>
          </w:tcPr>
          <w:p w14:paraId="7B29A08B"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CD45+ leukocytes that are HLA-DR-low, CD9-high, CD16-intermediate</w:t>
            </w:r>
          </w:p>
        </w:tc>
        <w:tc>
          <w:tcPr>
            <w:tcW w:w="1870" w:type="dxa"/>
          </w:tcPr>
          <w:p w14:paraId="0700E8B7"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Lin-1-negative, HLA-DR-positive leukocytes</w:t>
            </w:r>
          </w:p>
        </w:tc>
      </w:tr>
      <w:tr w:rsidR="00F239A1" w:rsidRPr="00DA56B2" w14:paraId="5135CEFF" w14:textId="77777777" w:rsidTr="003E4CF9">
        <w:tc>
          <w:tcPr>
            <w:tcW w:w="1870" w:type="dxa"/>
          </w:tcPr>
          <w:p w14:paraId="2ECA85C8" w14:textId="77777777" w:rsidR="00F239A1" w:rsidRPr="00DA56B2" w:rsidRDefault="00F239A1" w:rsidP="003E4CF9">
            <w:pPr>
              <w:rPr>
                <w:rFonts w:ascii="Times New Roman" w:hAnsi="Times New Roman"/>
                <w:sz w:val="24"/>
                <w:szCs w:val="24"/>
              </w:rPr>
            </w:pPr>
          </w:p>
        </w:tc>
        <w:tc>
          <w:tcPr>
            <w:tcW w:w="7480" w:type="dxa"/>
            <w:gridSpan w:val="4"/>
          </w:tcPr>
          <w:p w14:paraId="2A7B248C" w14:textId="77777777" w:rsidR="00F239A1" w:rsidRPr="00DA56B2" w:rsidRDefault="00F239A1" w:rsidP="003E4CF9">
            <w:pPr>
              <w:rPr>
                <w:rFonts w:ascii="Times New Roman" w:hAnsi="Times New Roman"/>
                <w:sz w:val="24"/>
                <w:szCs w:val="24"/>
              </w:rPr>
            </w:pPr>
            <w:r w:rsidRPr="00DA56B2">
              <w:rPr>
                <w:rFonts w:ascii="Times New Roman" w:hAnsi="Times New Roman"/>
                <w:sz w:val="24"/>
                <w:szCs w:val="24"/>
              </w:rPr>
              <w:t>CD69 served as the activation marker for all panels except dendritic cells in which CD86 was used.</w:t>
            </w:r>
          </w:p>
        </w:tc>
      </w:tr>
    </w:tbl>
    <w:p w14:paraId="1852F910" w14:textId="77777777" w:rsidR="00F239A1" w:rsidRPr="007507F5" w:rsidRDefault="00F239A1" w:rsidP="00F239A1">
      <w:pPr>
        <w:rPr>
          <w:rFonts w:ascii="Times New Roman" w:hAnsi="Times New Roman"/>
          <w:sz w:val="24"/>
          <w:szCs w:val="24"/>
        </w:rPr>
      </w:pPr>
    </w:p>
    <w:p w14:paraId="422987EB" w14:textId="77777777" w:rsidR="00F239A1" w:rsidRPr="0080383F" w:rsidRDefault="00F239A1" w:rsidP="0080383F">
      <w:pPr>
        <w:widowControl/>
        <w:tabs>
          <w:tab w:val="left" w:pos="4449"/>
        </w:tabs>
        <w:autoSpaceDE/>
        <w:autoSpaceDN/>
        <w:adjustRightInd/>
        <w:spacing w:line="480" w:lineRule="auto"/>
        <w:rPr>
          <w:rFonts w:ascii="Times New Roman" w:hAnsi="Times New Roman" w:cs="Times New Roman"/>
          <w:sz w:val="24"/>
          <w:szCs w:val="24"/>
        </w:rPr>
      </w:pPr>
    </w:p>
    <w:p w14:paraId="4E50298C" w14:textId="77777777" w:rsidR="0080383F" w:rsidRPr="00FD4EF2" w:rsidRDefault="0080383F" w:rsidP="000163D1">
      <w:pPr>
        <w:widowControl/>
        <w:tabs>
          <w:tab w:val="left" w:pos="4449"/>
        </w:tabs>
        <w:autoSpaceDE/>
        <w:autoSpaceDN/>
        <w:adjustRightInd/>
        <w:rPr>
          <w:rFonts w:ascii="Times New Roman" w:hAnsi="Times New Roman" w:cs="Times New Roman"/>
          <w:sz w:val="24"/>
          <w:szCs w:val="24"/>
        </w:rPr>
      </w:pPr>
    </w:p>
    <w:p w14:paraId="7456BE44" w14:textId="77777777" w:rsidR="000163D1" w:rsidRDefault="000163D1" w:rsidP="000163D1">
      <w:pPr>
        <w:widowControl/>
        <w:tabs>
          <w:tab w:val="left" w:pos="4449"/>
        </w:tabs>
        <w:autoSpaceDE/>
        <w:autoSpaceDN/>
        <w:adjustRightInd/>
        <w:rPr>
          <w:sz w:val="24"/>
          <w:szCs w:val="24"/>
        </w:rPr>
      </w:pPr>
    </w:p>
    <w:p w14:paraId="3ECE31D0" w14:textId="77777777" w:rsidR="000163D1" w:rsidRPr="00DA0E47" w:rsidRDefault="000163D1" w:rsidP="000163D1">
      <w:pPr>
        <w:widowControl/>
        <w:tabs>
          <w:tab w:val="left" w:pos="4449"/>
        </w:tabs>
        <w:autoSpaceDE/>
        <w:autoSpaceDN/>
        <w:adjustRightInd/>
        <w:rPr>
          <w:rFonts w:ascii="Times New Roman" w:hAnsi="Times New Roman" w:cs="Times New Roman"/>
          <w:b/>
          <w:sz w:val="24"/>
          <w:szCs w:val="24"/>
        </w:rPr>
      </w:pPr>
    </w:p>
    <w:p w14:paraId="0759BCD3" w14:textId="77777777" w:rsidR="00F64231" w:rsidRPr="00DA0E47" w:rsidRDefault="00CA24E7">
      <w:pPr>
        <w:rPr>
          <w:rFonts w:ascii="Times New Roman" w:hAnsi="Times New Roman" w:cs="Times New Roman"/>
          <w:b/>
          <w:sz w:val="24"/>
          <w:szCs w:val="24"/>
        </w:rPr>
      </w:pPr>
      <w:r w:rsidRPr="00DA0E47">
        <w:rPr>
          <w:rFonts w:ascii="Times New Roman" w:hAnsi="Times New Roman" w:cs="Times New Roman"/>
          <w:b/>
          <w:sz w:val="24"/>
          <w:szCs w:val="24"/>
        </w:rPr>
        <w:t>References:</w:t>
      </w:r>
    </w:p>
    <w:p w14:paraId="69721DEF" w14:textId="77777777" w:rsidR="00274B4C" w:rsidRDefault="00274B4C"/>
    <w:p w14:paraId="4AD0C2D5" w14:textId="487B68DB" w:rsidR="00274B4C" w:rsidRPr="00274B4C" w:rsidRDefault="00274B4C" w:rsidP="00274B4C">
      <w:pPr>
        <w:pStyle w:val="EndNoteBibliography"/>
        <w:ind w:left="720" w:hanging="720"/>
        <w:rPr>
          <w:rFonts w:ascii="Times" w:hAnsi="Times"/>
          <w:noProof/>
          <w:sz w:val="24"/>
          <w:szCs w:val="24"/>
        </w:rPr>
      </w:pPr>
      <w:r w:rsidRPr="00274B4C">
        <w:rPr>
          <w:rFonts w:ascii="Times" w:hAnsi="Times"/>
          <w:sz w:val="24"/>
          <w:szCs w:val="24"/>
        </w:rPr>
        <w:fldChar w:fldCharType="begin"/>
      </w:r>
      <w:r w:rsidRPr="00274B4C">
        <w:rPr>
          <w:rFonts w:ascii="Times" w:hAnsi="Times"/>
          <w:sz w:val="24"/>
          <w:szCs w:val="24"/>
        </w:rPr>
        <w:instrText xml:space="preserve"> ADDIN EN.REFLIST </w:instrText>
      </w:r>
      <w:r w:rsidRPr="00274B4C">
        <w:rPr>
          <w:rFonts w:ascii="Times" w:hAnsi="Times"/>
          <w:sz w:val="24"/>
          <w:szCs w:val="24"/>
        </w:rPr>
        <w:fldChar w:fldCharType="separate"/>
      </w:r>
      <w:r w:rsidRPr="00274B4C">
        <w:rPr>
          <w:rFonts w:ascii="Times" w:hAnsi="Times"/>
          <w:noProof/>
          <w:sz w:val="24"/>
          <w:szCs w:val="24"/>
        </w:rPr>
        <w:t>1. Metzger WJ, Zavala D, Richerson HB, et al. Local allergen challenge and bronchoalveolar lavage of allergic asthmatic lungs. Description of the model and local airway inflammation. Am Rev Respir Dis 1987;</w:t>
      </w:r>
      <w:r w:rsidRPr="00274B4C">
        <w:rPr>
          <w:rFonts w:ascii="Times" w:hAnsi="Times"/>
          <w:b/>
          <w:noProof/>
          <w:sz w:val="24"/>
          <w:szCs w:val="24"/>
        </w:rPr>
        <w:t>135</w:t>
      </w:r>
      <w:r w:rsidR="0024342D">
        <w:rPr>
          <w:rFonts w:ascii="Times" w:hAnsi="Times"/>
          <w:noProof/>
          <w:sz w:val="24"/>
          <w:szCs w:val="24"/>
        </w:rPr>
        <w:t>(2):433-40.</w:t>
      </w:r>
    </w:p>
    <w:p w14:paraId="785B706C" w14:textId="7BA74EA1" w:rsidR="00274B4C" w:rsidRPr="00274B4C" w:rsidRDefault="00274B4C" w:rsidP="0024342D">
      <w:pPr>
        <w:pStyle w:val="EndNoteBibliography"/>
        <w:ind w:left="720" w:hanging="720"/>
        <w:rPr>
          <w:rFonts w:ascii="Times" w:hAnsi="Times"/>
          <w:noProof/>
          <w:sz w:val="24"/>
          <w:szCs w:val="24"/>
        </w:rPr>
      </w:pPr>
      <w:r w:rsidRPr="00274B4C">
        <w:rPr>
          <w:rFonts w:ascii="Times" w:hAnsi="Times"/>
          <w:noProof/>
          <w:sz w:val="24"/>
          <w:szCs w:val="24"/>
        </w:rPr>
        <w:t>2. Gilliland FD, Li YF, Saxon A, et al. Effect of glutathione-S-transferase M1 and P1 genotypes on xenobiotic enhancement of allergic responses: randomised, placebo-controlled crossover study. Lancet 2004;</w:t>
      </w:r>
      <w:r w:rsidRPr="00274B4C">
        <w:rPr>
          <w:rFonts w:ascii="Times" w:hAnsi="Times"/>
          <w:b/>
          <w:noProof/>
          <w:sz w:val="24"/>
          <w:szCs w:val="24"/>
        </w:rPr>
        <w:t>363</w:t>
      </w:r>
      <w:r w:rsidR="0024342D">
        <w:rPr>
          <w:rFonts w:ascii="Times" w:hAnsi="Times"/>
          <w:noProof/>
          <w:sz w:val="24"/>
          <w:szCs w:val="24"/>
        </w:rPr>
        <w:t>(9403):119-25.</w:t>
      </w:r>
    </w:p>
    <w:p w14:paraId="5C7CEE3A" w14:textId="41727B91" w:rsidR="00274B4C" w:rsidRPr="00274B4C" w:rsidRDefault="00274B4C" w:rsidP="00274B4C">
      <w:pPr>
        <w:pStyle w:val="EndNoteBibliography"/>
        <w:ind w:left="720" w:hanging="720"/>
        <w:rPr>
          <w:rFonts w:ascii="Times" w:hAnsi="Times"/>
          <w:noProof/>
          <w:sz w:val="24"/>
          <w:szCs w:val="24"/>
        </w:rPr>
      </w:pPr>
      <w:r w:rsidRPr="00274B4C">
        <w:rPr>
          <w:rFonts w:ascii="Times" w:hAnsi="Times"/>
          <w:noProof/>
          <w:sz w:val="24"/>
          <w:szCs w:val="24"/>
        </w:rPr>
        <w:t>3. Jackson GG, Dowling HF, Spiesman IG, et al. Transmission of the common cold to volunteers under controlled conditions. I. The common cold as a clinical entity. AMA Arch Intern Med 1958;</w:t>
      </w:r>
      <w:r w:rsidRPr="00274B4C">
        <w:rPr>
          <w:rFonts w:ascii="Times" w:hAnsi="Times"/>
          <w:b/>
          <w:noProof/>
          <w:sz w:val="24"/>
          <w:szCs w:val="24"/>
        </w:rPr>
        <w:t>101</w:t>
      </w:r>
      <w:r w:rsidRPr="00274B4C">
        <w:rPr>
          <w:rFonts w:ascii="Times" w:hAnsi="Times"/>
          <w:noProof/>
          <w:sz w:val="24"/>
          <w:szCs w:val="24"/>
        </w:rPr>
        <w:t>(2):267-78</w:t>
      </w:r>
      <w:r w:rsidR="0024342D">
        <w:rPr>
          <w:rFonts w:ascii="Times" w:hAnsi="Times"/>
          <w:noProof/>
          <w:sz w:val="24"/>
          <w:szCs w:val="24"/>
        </w:rPr>
        <w:t>.</w:t>
      </w:r>
      <w:r w:rsidRPr="00274B4C">
        <w:rPr>
          <w:rFonts w:ascii="Times" w:hAnsi="Times"/>
          <w:noProof/>
          <w:sz w:val="24"/>
          <w:szCs w:val="24"/>
        </w:rPr>
        <w:t xml:space="preserve"> </w:t>
      </w:r>
    </w:p>
    <w:p w14:paraId="69E84D35" w14:textId="66F4E834" w:rsidR="006B4071" w:rsidRDefault="00274B4C">
      <w:r w:rsidRPr="00274B4C">
        <w:rPr>
          <w:rFonts w:ascii="Times" w:hAnsi="Times"/>
          <w:sz w:val="24"/>
          <w:szCs w:val="24"/>
        </w:rPr>
        <w:fldChar w:fldCharType="end"/>
      </w:r>
    </w:p>
    <w:sectPr w:rsidR="006B4071" w:rsidSect="009D7225">
      <w:pgSz w:w="12240" w:h="15840" w:code="1"/>
      <w:pgMar w:top="720" w:right="720" w:bottom="720" w:left="720" w:header="561"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J&lt;/Style&gt;&lt;LeftDelim&gt;{&lt;/LeftDelim&gt;&lt;RightDelim&gt;}&lt;/RightDelim&gt;&lt;FontName&gt;Courier&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0detvp5p52ple0r0ox9wdptae2fwsw599p&quot;&gt;CCOERD_library Copy&lt;record-ids&gt;&lt;item&gt;1442&lt;/item&gt;&lt;item&gt;1561&lt;/item&gt;&lt;item&gt;1809&lt;/item&gt;&lt;/record-ids&gt;&lt;/item&gt;&lt;/Libraries&gt;"/>
  </w:docVars>
  <w:rsids>
    <w:rsidRoot w:val="00351164"/>
    <w:rsid w:val="000163D1"/>
    <w:rsid w:val="0002663B"/>
    <w:rsid w:val="00036808"/>
    <w:rsid w:val="000455A3"/>
    <w:rsid w:val="000D64DE"/>
    <w:rsid w:val="00186793"/>
    <w:rsid w:val="00223A6D"/>
    <w:rsid w:val="0024342D"/>
    <w:rsid w:val="0024379F"/>
    <w:rsid w:val="00272A92"/>
    <w:rsid w:val="00274B4C"/>
    <w:rsid w:val="00351164"/>
    <w:rsid w:val="003874EA"/>
    <w:rsid w:val="003E4CF9"/>
    <w:rsid w:val="00406537"/>
    <w:rsid w:val="00480ADB"/>
    <w:rsid w:val="005B5201"/>
    <w:rsid w:val="005E757C"/>
    <w:rsid w:val="006029ED"/>
    <w:rsid w:val="00622E43"/>
    <w:rsid w:val="00683AB4"/>
    <w:rsid w:val="006B4071"/>
    <w:rsid w:val="00732988"/>
    <w:rsid w:val="007840FC"/>
    <w:rsid w:val="007E1C5B"/>
    <w:rsid w:val="0080383F"/>
    <w:rsid w:val="009630A0"/>
    <w:rsid w:val="009B57E0"/>
    <w:rsid w:val="009D7225"/>
    <w:rsid w:val="00A63F86"/>
    <w:rsid w:val="00AA3C9E"/>
    <w:rsid w:val="00AC600C"/>
    <w:rsid w:val="00AF0D0B"/>
    <w:rsid w:val="00B055F4"/>
    <w:rsid w:val="00B544D6"/>
    <w:rsid w:val="00BD531D"/>
    <w:rsid w:val="00C030A5"/>
    <w:rsid w:val="00C179AD"/>
    <w:rsid w:val="00CA24E7"/>
    <w:rsid w:val="00DA0E47"/>
    <w:rsid w:val="00DD5517"/>
    <w:rsid w:val="00E027E6"/>
    <w:rsid w:val="00E86E5F"/>
    <w:rsid w:val="00EA0157"/>
    <w:rsid w:val="00F239A1"/>
    <w:rsid w:val="00F64231"/>
    <w:rsid w:val="00FB2E82"/>
    <w:rsid w:val="00FB4552"/>
    <w:rsid w:val="00FE7E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D1"/>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163D1"/>
  </w:style>
  <w:style w:type="character" w:styleId="Hyperlink">
    <w:name w:val="Hyperlink"/>
    <w:uiPriority w:val="99"/>
    <w:rsid w:val="007840FC"/>
    <w:rPr>
      <w:color w:val="auto"/>
      <w:u w:val="single"/>
    </w:rPr>
  </w:style>
  <w:style w:type="character" w:styleId="CommentReference">
    <w:name w:val="annotation reference"/>
    <w:uiPriority w:val="99"/>
    <w:semiHidden/>
    <w:rsid w:val="00A63F86"/>
    <w:rPr>
      <w:sz w:val="16"/>
    </w:rPr>
  </w:style>
  <w:style w:type="paragraph" w:styleId="BodyText">
    <w:name w:val="Body Text"/>
    <w:basedOn w:val="Normal"/>
    <w:link w:val="BodyTextChar"/>
    <w:uiPriority w:val="99"/>
    <w:rsid w:val="00A63F86"/>
    <w:pPr>
      <w:widowControl/>
      <w:autoSpaceDE/>
      <w:autoSpaceDN/>
      <w:adjustRightInd/>
      <w:spacing w:before="160"/>
    </w:pPr>
    <w:rPr>
      <w:rFonts w:ascii="Times New Roman" w:hAnsi="Times New Roman" w:cs="Times New Roman"/>
      <w:sz w:val="24"/>
      <w:lang w:val="en-US"/>
    </w:rPr>
  </w:style>
  <w:style w:type="character" w:customStyle="1" w:styleId="BodyTextChar">
    <w:name w:val="Body Text Char"/>
    <w:basedOn w:val="DefaultParagraphFont"/>
    <w:link w:val="BodyText"/>
    <w:uiPriority w:val="99"/>
    <w:rsid w:val="00A63F8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6537"/>
    <w:rPr>
      <w:rFonts w:ascii="Tahoma" w:hAnsi="Tahoma" w:cs="Tahoma"/>
      <w:sz w:val="16"/>
      <w:szCs w:val="16"/>
    </w:rPr>
  </w:style>
  <w:style w:type="character" w:customStyle="1" w:styleId="BalloonTextChar">
    <w:name w:val="Balloon Text Char"/>
    <w:basedOn w:val="DefaultParagraphFont"/>
    <w:link w:val="BalloonText"/>
    <w:uiPriority w:val="99"/>
    <w:semiHidden/>
    <w:rsid w:val="00406537"/>
    <w:rPr>
      <w:rFonts w:ascii="Tahoma" w:eastAsia="Times New Roman" w:hAnsi="Tahoma" w:cs="Tahoma"/>
      <w:sz w:val="16"/>
      <w:szCs w:val="16"/>
    </w:rPr>
  </w:style>
  <w:style w:type="paragraph" w:customStyle="1" w:styleId="EndNoteBibliographyTitle">
    <w:name w:val="EndNote Bibliography Title"/>
    <w:basedOn w:val="Normal"/>
    <w:rsid w:val="00274B4C"/>
    <w:pPr>
      <w:jc w:val="center"/>
    </w:pPr>
    <w:rPr>
      <w:lang w:val="en-US"/>
    </w:rPr>
  </w:style>
  <w:style w:type="paragraph" w:customStyle="1" w:styleId="EndNoteBibliography">
    <w:name w:val="EndNote Bibliography"/>
    <w:basedOn w:val="Normal"/>
    <w:rsid w:val="00274B4C"/>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D1"/>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163D1"/>
  </w:style>
  <w:style w:type="character" w:styleId="Hyperlink">
    <w:name w:val="Hyperlink"/>
    <w:uiPriority w:val="99"/>
    <w:rsid w:val="007840FC"/>
    <w:rPr>
      <w:color w:val="auto"/>
      <w:u w:val="single"/>
    </w:rPr>
  </w:style>
  <w:style w:type="character" w:styleId="CommentReference">
    <w:name w:val="annotation reference"/>
    <w:uiPriority w:val="99"/>
    <w:semiHidden/>
    <w:rsid w:val="00A63F86"/>
    <w:rPr>
      <w:sz w:val="16"/>
    </w:rPr>
  </w:style>
  <w:style w:type="paragraph" w:styleId="BodyText">
    <w:name w:val="Body Text"/>
    <w:basedOn w:val="Normal"/>
    <w:link w:val="BodyTextChar"/>
    <w:uiPriority w:val="99"/>
    <w:rsid w:val="00A63F86"/>
    <w:pPr>
      <w:widowControl/>
      <w:autoSpaceDE/>
      <w:autoSpaceDN/>
      <w:adjustRightInd/>
      <w:spacing w:before="160"/>
    </w:pPr>
    <w:rPr>
      <w:rFonts w:ascii="Times New Roman" w:hAnsi="Times New Roman" w:cs="Times New Roman"/>
      <w:sz w:val="24"/>
      <w:lang w:val="en-US"/>
    </w:rPr>
  </w:style>
  <w:style w:type="character" w:customStyle="1" w:styleId="BodyTextChar">
    <w:name w:val="Body Text Char"/>
    <w:basedOn w:val="DefaultParagraphFont"/>
    <w:link w:val="BodyText"/>
    <w:uiPriority w:val="99"/>
    <w:rsid w:val="00A63F8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6537"/>
    <w:rPr>
      <w:rFonts w:ascii="Tahoma" w:hAnsi="Tahoma" w:cs="Tahoma"/>
      <w:sz w:val="16"/>
      <w:szCs w:val="16"/>
    </w:rPr>
  </w:style>
  <w:style w:type="character" w:customStyle="1" w:styleId="BalloonTextChar">
    <w:name w:val="Balloon Text Char"/>
    <w:basedOn w:val="DefaultParagraphFont"/>
    <w:link w:val="BalloonText"/>
    <w:uiPriority w:val="99"/>
    <w:semiHidden/>
    <w:rsid w:val="00406537"/>
    <w:rPr>
      <w:rFonts w:ascii="Tahoma" w:eastAsia="Times New Roman" w:hAnsi="Tahoma" w:cs="Tahoma"/>
      <w:sz w:val="16"/>
      <w:szCs w:val="16"/>
    </w:rPr>
  </w:style>
  <w:style w:type="paragraph" w:customStyle="1" w:styleId="EndNoteBibliographyTitle">
    <w:name w:val="EndNote Bibliography Title"/>
    <w:basedOn w:val="Normal"/>
    <w:rsid w:val="00274B4C"/>
    <w:pPr>
      <w:jc w:val="center"/>
    </w:pPr>
    <w:rPr>
      <w:lang w:val="en-US"/>
    </w:rPr>
  </w:style>
  <w:style w:type="paragraph" w:customStyle="1" w:styleId="EndNoteBibliography">
    <w:name w:val="EndNote Bibliography"/>
    <w:basedOn w:val="Normal"/>
    <w:rsid w:val="00274B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lsten@mail.u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31D5-7D1A-A340-97EE-95A3FEAD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1306</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Chris Carlsten</cp:lastModifiedBy>
  <cp:revision>4</cp:revision>
  <dcterms:created xsi:type="dcterms:W3CDTF">2016-01-30T16:21:00Z</dcterms:created>
  <dcterms:modified xsi:type="dcterms:W3CDTF">2019-11-08T15:02:00Z</dcterms:modified>
</cp:coreProperties>
</file>