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B9" w:rsidRPr="00312E12" w:rsidRDefault="00A839B9" w:rsidP="00A839B9">
      <w:pPr>
        <w:spacing w:line="360" w:lineRule="auto"/>
        <w:jc w:val="both"/>
        <w:rPr>
          <w:bCs/>
          <w:u w:val="single"/>
        </w:rPr>
      </w:pPr>
      <w:r w:rsidRPr="00312E12">
        <w:rPr>
          <w:bCs/>
          <w:u w:val="single"/>
        </w:rPr>
        <w:t>Supplementary material</w:t>
      </w:r>
      <w:r>
        <w:rPr>
          <w:bCs/>
          <w:u w:val="single"/>
        </w:rPr>
        <w:t xml:space="preserve"> for </w:t>
      </w:r>
      <w:r>
        <w:rPr>
          <w:rFonts w:ascii="Verdana" w:hAnsi="Verdana"/>
          <w:color w:val="000000"/>
        </w:rPr>
        <w:t>THORAX/2010/148866</w:t>
      </w:r>
    </w:p>
    <w:p w:rsidR="00A839B9" w:rsidRPr="00312E12" w:rsidRDefault="00A839B9" w:rsidP="00A839B9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9B9" w:rsidRPr="00312E12" w:rsidRDefault="00A839B9" w:rsidP="00A839B9">
      <w:pPr>
        <w:spacing w:line="360" w:lineRule="auto"/>
        <w:rPr>
          <w:b/>
        </w:rPr>
      </w:pPr>
      <w:r w:rsidRPr="00312E12">
        <w:rPr>
          <w:b/>
        </w:rPr>
        <w:t>Methods</w:t>
      </w:r>
    </w:p>
    <w:p w:rsidR="00A839B9" w:rsidRPr="00312E12" w:rsidRDefault="00A839B9" w:rsidP="00A839B9">
      <w:pPr>
        <w:spacing w:line="360" w:lineRule="auto"/>
        <w:jc w:val="both"/>
      </w:pPr>
    </w:p>
    <w:p w:rsidR="00A839B9" w:rsidRPr="00312E12" w:rsidRDefault="00A839B9" w:rsidP="00A839B9">
      <w:pPr>
        <w:spacing w:line="360" w:lineRule="auto"/>
        <w:jc w:val="both"/>
      </w:pPr>
      <w:r w:rsidRPr="00312E12">
        <w:t xml:space="preserve">Patients with MDRTB were identified from the NMRL records of specimens received over a two year period from January 2008 to December 2009. For each patient, a single sample was selected, this being the earliest sample in which MDRTB was demonstrated either </w:t>
      </w:r>
      <w:proofErr w:type="spellStart"/>
      <w:r w:rsidRPr="00312E12">
        <w:t>genotypically</w:t>
      </w:r>
      <w:proofErr w:type="spellEnd"/>
      <w:r w:rsidRPr="00312E12">
        <w:t xml:space="preserve"> or </w:t>
      </w:r>
      <w:proofErr w:type="spellStart"/>
      <w:r w:rsidRPr="00312E12">
        <w:t>phenotypically</w:t>
      </w:r>
      <w:proofErr w:type="spellEnd"/>
      <w:r w:rsidRPr="00312E12">
        <w:t xml:space="preserve">. </w:t>
      </w:r>
    </w:p>
    <w:p w:rsidR="00A839B9" w:rsidRPr="00312E12" w:rsidRDefault="00A839B9" w:rsidP="00A839B9">
      <w:pPr>
        <w:pStyle w:val="Heading5"/>
        <w:widowControl/>
        <w:spacing w:line="360" w:lineRule="auto"/>
        <w:ind w:left="0" w:right="0"/>
        <w:jc w:val="both"/>
        <w:rPr>
          <w:i w:val="0"/>
          <w:iCs w:val="0"/>
          <w:sz w:val="24"/>
          <w:szCs w:val="24"/>
        </w:rPr>
      </w:pPr>
    </w:p>
    <w:p w:rsidR="00A839B9" w:rsidRPr="00312E12" w:rsidRDefault="00A839B9" w:rsidP="00A839B9">
      <w:pPr>
        <w:pStyle w:val="Heading5"/>
        <w:widowControl/>
        <w:spacing w:line="360" w:lineRule="auto"/>
        <w:ind w:left="0" w:right="0"/>
        <w:jc w:val="both"/>
        <w:rPr>
          <w:i w:val="0"/>
          <w:iCs w:val="0"/>
          <w:sz w:val="24"/>
          <w:szCs w:val="24"/>
        </w:rPr>
      </w:pPr>
      <w:r w:rsidRPr="00312E12">
        <w:rPr>
          <w:i w:val="0"/>
          <w:iCs w:val="0"/>
          <w:sz w:val="24"/>
          <w:szCs w:val="24"/>
        </w:rPr>
        <w:t>Definitions</w:t>
      </w:r>
    </w:p>
    <w:p w:rsidR="00A839B9" w:rsidRPr="00312E12" w:rsidRDefault="00A839B9" w:rsidP="00A839B9">
      <w:pPr>
        <w:spacing w:line="360" w:lineRule="auto"/>
        <w:jc w:val="both"/>
      </w:pPr>
      <w:r w:rsidRPr="00312E12">
        <w:t xml:space="preserve">First line drugs: </w:t>
      </w:r>
      <w:proofErr w:type="spellStart"/>
      <w:r w:rsidRPr="00312E12">
        <w:t>rifampicin</w:t>
      </w:r>
      <w:proofErr w:type="spellEnd"/>
      <w:r>
        <w:t xml:space="preserve"> (R)</w:t>
      </w:r>
      <w:r w:rsidRPr="00312E12">
        <w:t>, isoniazid</w:t>
      </w:r>
      <w:r>
        <w:t xml:space="preserve"> (H)</w:t>
      </w:r>
      <w:r w:rsidRPr="00312E12">
        <w:t xml:space="preserve">, </w:t>
      </w:r>
      <w:proofErr w:type="spellStart"/>
      <w:r w:rsidRPr="00312E12">
        <w:t>ethambutol</w:t>
      </w:r>
      <w:proofErr w:type="spellEnd"/>
      <w:r>
        <w:t xml:space="preserve"> (E)</w:t>
      </w:r>
      <w:r w:rsidRPr="00312E12">
        <w:t xml:space="preserve"> and </w:t>
      </w:r>
      <w:proofErr w:type="spellStart"/>
      <w:r w:rsidRPr="00312E12">
        <w:t>pyrazinamide</w:t>
      </w:r>
      <w:proofErr w:type="spellEnd"/>
      <w:r>
        <w:t xml:space="preserve"> (Z)</w:t>
      </w:r>
      <w:r w:rsidRPr="00312E12">
        <w:t xml:space="preserve">. </w:t>
      </w:r>
      <w:r>
        <w:t>Reserve</w:t>
      </w:r>
      <w:r w:rsidRPr="00312E12">
        <w:t xml:space="preserve"> drugs: </w:t>
      </w:r>
      <w:proofErr w:type="spellStart"/>
      <w:r w:rsidRPr="00312E12">
        <w:t>amikacin</w:t>
      </w:r>
      <w:proofErr w:type="spellEnd"/>
      <w:r w:rsidRPr="00312E12">
        <w:t xml:space="preserve">, </w:t>
      </w:r>
      <w:proofErr w:type="spellStart"/>
      <w:r w:rsidRPr="00312E12">
        <w:t>capreomycin</w:t>
      </w:r>
      <w:proofErr w:type="spellEnd"/>
      <w:r w:rsidRPr="00312E12">
        <w:t xml:space="preserve">, </w:t>
      </w:r>
      <w:proofErr w:type="spellStart"/>
      <w:r w:rsidRPr="00312E12">
        <w:t>kanamycin</w:t>
      </w:r>
      <w:proofErr w:type="spellEnd"/>
      <w:r w:rsidRPr="00312E12">
        <w:t xml:space="preserve">, </w:t>
      </w:r>
      <w:proofErr w:type="spellStart"/>
      <w:r w:rsidRPr="00312E12">
        <w:t>moxifloxacin</w:t>
      </w:r>
      <w:proofErr w:type="spellEnd"/>
      <w:r w:rsidRPr="00312E12">
        <w:t xml:space="preserve">, </w:t>
      </w:r>
      <w:proofErr w:type="spellStart"/>
      <w:r w:rsidRPr="00312E12">
        <w:t>ofloxacin</w:t>
      </w:r>
      <w:proofErr w:type="spellEnd"/>
      <w:r w:rsidRPr="00312E12">
        <w:t xml:space="preserve">, </w:t>
      </w:r>
      <w:proofErr w:type="spellStart"/>
      <w:r w:rsidRPr="00312E12">
        <w:t>prothionamide</w:t>
      </w:r>
      <w:proofErr w:type="spellEnd"/>
      <w:r w:rsidRPr="00312E12">
        <w:t xml:space="preserve"> and streptomycin. (Streptomycin, although traditionally grouped with the first line drugs, is very seldom prescribed and is here placed among the </w:t>
      </w:r>
      <w:r>
        <w:t>reserve</w:t>
      </w:r>
      <w:r w:rsidRPr="00312E12">
        <w:t xml:space="preserve"> drugs). </w:t>
      </w:r>
    </w:p>
    <w:p w:rsidR="00A839B9" w:rsidRPr="00312E12" w:rsidRDefault="00A839B9" w:rsidP="00A839B9">
      <w:pPr>
        <w:spacing w:line="360" w:lineRule="auto"/>
        <w:jc w:val="both"/>
      </w:pPr>
    </w:p>
    <w:p w:rsidR="00A839B9" w:rsidRPr="00312E12" w:rsidRDefault="00A839B9" w:rsidP="00A839B9">
      <w:pPr>
        <w:spacing w:line="360" w:lineRule="auto"/>
        <w:jc w:val="both"/>
      </w:pPr>
      <w:proofErr w:type="spellStart"/>
      <w:r w:rsidRPr="00312E12">
        <w:t>Genotypically</w:t>
      </w:r>
      <w:proofErr w:type="spellEnd"/>
      <w:r w:rsidRPr="00312E12">
        <w:t>, the NMRL operates a rapid molecular service known as “</w:t>
      </w:r>
      <w:proofErr w:type="spellStart"/>
      <w:r w:rsidRPr="00312E12">
        <w:t>Fastrack</w:t>
      </w:r>
      <w:proofErr w:type="spellEnd"/>
      <w:r w:rsidRPr="00312E12">
        <w:t xml:space="preserve">”, which uses commercial line probe assays for the rapid identification of </w:t>
      </w:r>
      <w:r w:rsidRPr="00312E12">
        <w:rPr>
          <w:iCs/>
        </w:rPr>
        <w:t xml:space="preserve">Mycobacterium tuberculosis </w:t>
      </w:r>
      <w:r w:rsidRPr="00312E12">
        <w:t xml:space="preserve">complex (MTBC) and </w:t>
      </w:r>
      <w:proofErr w:type="spellStart"/>
      <w:r w:rsidRPr="00312E12">
        <w:t>rifampicin</w:t>
      </w:r>
      <w:proofErr w:type="spellEnd"/>
      <w:r w:rsidRPr="00312E12">
        <w:t xml:space="preserve"> resistance, as detected by mutations in the </w:t>
      </w:r>
      <w:proofErr w:type="spellStart"/>
      <w:r w:rsidRPr="00312E12">
        <w:t>RpoB</w:t>
      </w:r>
      <w:proofErr w:type="spellEnd"/>
      <w:r w:rsidRPr="00312E12">
        <w:t xml:space="preserve"> gene.[2] Results are available within two days. Cultures are identified as MTBC using the </w:t>
      </w:r>
      <w:proofErr w:type="spellStart"/>
      <w:r w:rsidRPr="00312E12">
        <w:t>GenoType</w:t>
      </w:r>
      <w:proofErr w:type="spellEnd"/>
      <w:r w:rsidRPr="00312E12">
        <w:t>®-Series molecular assay (</w:t>
      </w:r>
      <w:proofErr w:type="spellStart"/>
      <w:r w:rsidRPr="00312E12">
        <w:t>Hain</w:t>
      </w:r>
      <w:proofErr w:type="spellEnd"/>
      <w:r w:rsidRPr="00312E12">
        <w:t xml:space="preserve"> </w:t>
      </w:r>
      <w:proofErr w:type="spellStart"/>
      <w:r w:rsidRPr="00312E12">
        <w:t>Lifescience</w:t>
      </w:r>
      <w:proofErr w:type="spellEnd"/>
      <w:r w:rsidRPr="00312E12">
        <w:t xml:space="preserve"> GmbH, </w:t>
      </w:r>
      <w:proofErr w:type="spellStart"/>
      <w:r w:rsidRPr="00312E12">
        <w:t>Nehren</w:t>
      </w:r>
      <w:proofErr w:type="spellEnd"/>
      <w:r w:rsidRPr="00312E12">
        <w:t xml:space="preserve">). </w:t>
      </w:r>
      <w:proofErr w:type="spellStart"/>
      <w:r w:rsidRPr="00312E12">
        <w:t>Phenotypically</w:t>
      </w:r>
      <w:proofErr w:type="spellEnd"/>
      <w:r w:rsidRPr="00312E12">
        <w:t xml:space="preserve">, DSTs for </w:t>
      </w:r>
      <w:proofErr w:type="spellStart"/>
      <w:r w:rsidRPr="00312E12">
        <w:t>rifampicin</w:t>
      </w:r>
      <w:proofErr w:type="spellEnd"/>
      <w:r w:rsidRPr="00312E12">
        <w:t xml:space="preserve">, isoniazid, </w:t>
      </w:r>
      <w:proofErr w:type="spellStart"/>
      <w:r w:rsidRPr="00312E12">
        <w:t>ethambutol</w:t>
      </w:r>
      <w:proofErr w:type="spellEnd"/>
      <w:r w:rsidRPr="00312E12">
        <w:t xml:space="preserve">, </w:t>
      </w:r>
      <w:proofErr w:type="spellStart"/>
      <w:r w:rsidRPr="00312E12">
        <w:t>pyrazinamide</w:t>
      </w:r>
      <w:proofErr w:type="spellEnd"/>
      <w:r w:rsidRPr="00312E12">
        <w:t xml:space="preserve"> and streptomycin are carried out on all culture positive MTBC isolates, using the resistance ratio method on Lowenstein-Jensen slopes</w:t>
      </w:r>
      <w:proofErr w:type="gramStart"/>
      <w:r w:rsidRPr="00312E12">
        <w:t>.[</w:t>
      </w:r>
      <w:proofErr w:type="gramEnd"/>
      <w:r w:rsidRPr="00312E12">
        <w:t>3]</w:t>
      </w:r>
      <w:r w:rsidRPr="00312E12">
        <w:rPr>
          <w:b/>
          <w:bCs/>
        </w:rPr>
        <w:t xml:space="preserve"> </w:t>
      </w:r>
    </w:p>
    <w:p w:rsidR="00A839B9" w:rsidRPr="00312E12" w:rsidRDefault="00A839B9" w:rsidP="00A839B9">
      <w:pPr>
        <w:spacing w:line="360" w:lineRule="auto"/>
        <w:jc w:val="both"/>
      </w:pPr>
    </w:p>
    <w:p w:rsidR="00A839B9" w:rsidRPr="00312E12" w:rsidRDefault="00A839B9" w:rsidP="00A839B9">
      <w:pPr>
        <w:spacing w:line="360" w:lineRule="auto"/>
        <w:jc w:val="both"/>
      </w:pPr>
      <w:r w:rsidRPr="00312E12">
        <w:t xml:space="preserve">When isolates were found to be either </w:t>
      </w:r>
      <w:proofErr w:type="spellStart"/>
      <w:r w:rsidRPr="00312E12">
        <w:t>genotypically</w:t>
      </w:r>
      <w:proofErr w:type="spellEnd"/>
      <w:r w:rsidRPr="00312E12">
        <w:t xml:space="preserve"> or </w:t>
      </w:r>
      <w:proofErr w:type="spellStart"/>
      <w:r w:rsidRPr="00312E12">
        <w:t>phenotypically</w:t>
      </w:r>
      <w:proofErr w:type="spellEnd"/>
      <w:r w:rsidRPr="00312E12">
        <w:t xml:space="preserve"> MDRTB, DSTs for </w:t>
      </w:r>
      <w:r>
        <w:t>reserve</w:t>
      </w:r>
      <w:r w:rsidRPr="00312E12">
        <w:t xml:space="preserve"> drugs were carried out in the liquid-based </w:t>
      </w:r>
      <w:proofErr w:type="spellStart"/>
      <w:r w:rsidRPr="00312E12">
        <w:t>Mycobacteria</w:t>
      </w:r>
      <w:proofErr w:type="spellEnd"/>
      <w:r w:rsidRPr="00312E12">
        <w:t xml:space="preserve"> Growth Indicator Tube (MGIT) 960 system (Becton Dickinson, Microbiology Systems, Sparks, MD) using critical concentrations previously determined, namely: </w:t>
      </w:r>
      <w:proofErr w:type="spellStart"/>
      <w:r w:rsidRPr="00312E12">
        <w:t>moxifloxacin</w:t>
      </w:r>
      <w:proofErr w:type="spellEnd"/>
      <w:r w:rsidRPr="00312E12">
        <w:t xml:space="preserve"> (0.25 µg/ml), </w:t>
      </w:r>
      <w:proofErr w:type="spellStart"/>
      <w:r w:rsidRPr="00312E12">
        <w:t>ofloxacin</w:t>
      </w:r>
      <w:proofErr w:type="spellEnd"/>
      <w:r w:rsidRPr="00312E12">
        <w:t xml:space="preserve"> (2.0 µg/ml), </w:t>
      </w:r>
      <w:proofErr w:type="spellStart"/>
      <w:r w:rsidRPr="00312E12">
        <w:t>kanamycin</w:t>
      </w:r>
      <w:proofErr w:type="spellEnd"/>
      <w:r w:rsidRPr="00312E12">
        <w:t xml:space="preserve"> (5.0 µg/ml), </w:t>
      </w:r>
      <w:proofErr w:type="spellStart"/>
      <w:r w:rsidRPr="00312E12">
        <w:t>capreomycin</w:t>
      </w:r>
      <w:proofErr w:type="spellEnd"/>
      <w:r w:rsidRPr="00312E12">
        <w:t xml:space="preserve"> (2.5 µg/ml), </w:t>
      </w:r>
      <w:proofErr w:type="spellStart"/>
      <w:r w:rsidRPr="00312E12">
        <w:t>amikacin</w:t>
      </w:r>
      <w:proofErr w:type="spellEnd"/>
      <w:r w:rsidRPr="00312E12">
        <w:t xml:space="preserve"> (1.0 µg/ml) and </w:t>
      </w:r>
      <w:proofErr w:type="spellStart"/>
      <w:r w:rsidRPr="00312E12">
        <w:t>prothionamide</w:t>
      </w:r>
      <w:proofErr w:type="spellEnd"/>
      <w:r w:rsidRPr="00312E12">
        <w:t xml:space="preserve"> (2.5 µg/ml), as described elsewhere.[4, 5] </w:t>
      </w:r>
    </w:p>
    <w:p w:rsidR="00A839B9" w:rsidRPr="00312E12" w:rsidRDefault="00A839B9" w:rsidP="00A839B9">
      <w:pPr>
        <w:spacing w:line="360" w:lineRule="auto"/>
        <w:jc w:val="both"/>
        <w:rPr>
          <w:rFonts w:eastAsia="Calibri"/>
        </w:rPr>
      </w:pPr>
    </w:p>
    <w:p w:rsidR="00A839B9" w:rsidRPr="00312E12" w:rsidRDefault="00A839B9" w:rsidP="00A839B9">
      <w:pPr>
        <w:pStyle w:val="Heading3"/>
        <w:spacing w:after="0"/>
        <w:rPr>
          <w:b/>
          <w:bCs/>
          <w:i w:val="0"/>
        </w:rPr>
      </w:pPr>
      <w:r w:rsidRPr="00312E12">
        <w:rPr>
          <w:b/>
          <w:bCs/>
          <w:i w:val="0"/>
        </w:rPr>
        <w:t xml:space="preserve">Criteria for inclusion in the main study </w:t>
      </w:r>
    </w:p>
    <w:p w:rsidR="00A839B9" w:rsidRPr="00312E12" w:rsidRDefault="00A839B9" w:rsidP="00A839B9">
      <w:pPr>
        <w:pStyle w:val="BlockText"/>
        <w:spacing w:line="360" w:lineRule="auto"/>
        <w:ind w:left="0" w:right="0"/>
        <w:jc w:val="both"/>
        <w:rPr>
          <w:i w:val="0"/>
          <w:iCs w:val="0"/>
          <w:sz w:val="24"/>
          <w:szCs w:val="24"/>
        </w:rPr>
      </w:pPr>
      <w:r w:rsidRPr="00312E12">
        <w:rPr>
          <w:i w:val="0"/>
          <w:iCs w:val="0"/>
          <w:sz w:val="24"/>
          <w:szCs w:val="24"/>
        </w:rPr>
        <w:t>Patients were included who had a “complete drug profile” as defined above. Failure to complete drug profiles was due either to individual contaminated drug tubes or to isolates contaminated by non-</w:t>
      </w:r>
      <w:proofErr w:type="spellStart"/>
      <w:r w:rsidRPr="00312E12">
        <w:rPr>
          <w:i w:val="0"/>
          <w:iCs w:val="0"/>
          <w:sz w:val="24"/>
          <w:szCs w:val="24"/>
        </w:rPr>
        <w:t>tuberculous</w:t>
      </w:r>
      <w:proofErr w:type="spellEnd"/>
      <w:r w:rsidRPr="00312E12">
        <w:rPr>
          <w:i w:val="0"/>
          <w:iCs w:val="0"/>
          <w:sz w:val="24"/>
          <w:szCs w:val="24"/>
        </w:rPr>
        <w:t xml:space="preserve"> </w:t>
      </w:r>
      <w:proofErr w:type="spellStart"/>
      <w:r w:rsidRPr="00312E12">
        <w:rPr>
          <w:i w:val="0"/>
          <w:iCs w:val="0"/>
          <w:sz w:val="24"/>
          <w:szCs w:val="24"/>
        </w:rPr>
        <w:t>mycobacteria</w:t>
      </w:r>
      <w:proofErr w:type="spellEnd"/>
      <w:r w:rsidRPr="00312E12">
        <w:rPr>
          <w:i w:val="0"/>
          <w:iCs w:val="0"/>
          <w:sz w:val="24"/>
          <w:szCs w:val="24"/>
        </w:rPr>
        <w:t>. In either case, no pure culture could be obtained after attempted decontamination.</w:t>
      </w:r>
    </w:p>
    <w:p w:rsidR="00A839B9" w:rsidRPr="00312E12" w:rsidRDefault="00A839B9" w:rsidP="00A839B9">
      <w:pPr>
        <w:spacing w:line="360" w:lineRule="auto"/>
      </w:pPr>
    </w:p>
    <w:p w:rsidR="00A839B9" w:rsidRPr="00312E12" w:rsidRDefault="00A839B9" w:rsidP="00A839B9">
      <w:pPr>
        <w:pStyle w:val="Heading5"/>
        <w:spacing w:line="360" w:lineRule="auto"/>
        <w:ind w:left="0" w:right="0"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155EB9" w:rsidRDefault="002E4F83"/>
    <w:sectPr w:rsidR="00155EB9" w:rsidSect="00ED4EA0">
      <w:footerReference w:type="default" r:id="rId6"/>
      <w:pgSz w:w="11906" w:h="16838"/>
      <w:pgMar w:top="720" w:right="720" w:bottom="720" w:left="720" w:header="708" w:footer="39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A0" w:rsidRDefault="00ED4EA0" w:rsidP="00ED4EA0">
      <w:r>
        <w:separator/>
      </w:r>
    </w:p>
  </w:endnote>
  <w:endnote w:type="continuationSeparator" w:id="0">
    <w:p w:rsidR="00ED4EA0" w:rsidRDefault="00ED4EA0" w:rsidP="00ED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3A" w:rsidRDefault="00ED4EA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A839B9"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2E4F8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79153A" w:rsidRDefault="002E4F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A0" w:rsidRDefault="00ED4EA0" w:rsidP="00ED4EA0">
      <w:r>
        <w:separator/>
      </w:r>
    </w:p>
  </w:footnote>
  <w:footnote w:type="continuationSeparator" w:id="0">
    <w:p w:rsidR="00ED4EA0" w:rsidRDefault="00ED4EA0" w:rsidP="00ED4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9B9"/>
    <w:rsid w:val="001F5012"/>
    <w:rsid w:val="002D7940"/>
    <w:rsid w:val="002E4F83"/>
    <w:rsid w:val="003D726A"/>
    <w:rsid w:val="00941CB4"/>
    <w:rsid w:val="00A839B9"/>
    <w:rsid w:val="00B703F6"/>
    <w:rsid w:val="00E87124"/>
    <w:rsid w:val="00ED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839B9"/>
    <w:pPr>
      <w:keepNext/>
      <w:spacing w:after="200" w:line="360" w:lineRule="auto"/>
      <w:jc w:val="both"/>
      <w:outlineLvl w:val="2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A839B9"/>
    <w:pPr>
      <w:keepNext/>
      <w:widowControl w:val="0"/>
      <w:spacing w:line="276" w:lineRule="auto"/>
      <w:ind w:left="-1260" w:right="1466"/>
      <w:outlineLvl w:val="4"/>
    </w:pPr>
    <w:rPr>
      <w:b/>
      <w:bCs/>
      <w:i/>
      <w:i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9B9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839B9"/>
    <w:rPr>
      <w:rFonts w:ascii="Times New Roman" w:eastAsia="Times New Roman" w:hAnsi="Times New Roman" w:cs="Times New Roman"/>
      <w:b/>
      <w:bCs/>
      <w:i/>
      <w:iCs/>
      <w:sz w:val="20"/>
    </w:rPr>
  </w:style>
  <w:style w:type="paragraph" w:styleId="BlockText">
    <w:name w:val="Block Text"/>
    <w:basedOn w:val="Normal"/>
    <w:semiHidden/>
    <w:rsid w:val="00A839B9"/>
    <w:pPr>
      <w:spacing w:line="276" w:lineRule="auto"/>
      <w:ind w:left="-720" w:right="1466"/>
    </w:pPr>
    <w:rPr>
      <w:bCs/>
      <w:i/>
      <w:iCs/>
      <w:sz w:val="20"/>
      <w:szCs w:val="22"/>
    </w:rPr>
  </w:style>
  <w:style w:type="paragraph" w:styleId="Footer">
    <w:name w:val="footer"/>
    <w:basedOn w:val="Normal"/>
    <w:link w:val="FooterChar"/>
    <w:semiHidden/>
    <w:unhideWhenUsed/>
    <w:rsid w:val="00A83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A839B9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rsid w:val="00A83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839B9"/>
    <w:rPr>
      <w:rFonts w:ascii="Courier New" w:eastAsia="Courier New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83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1840</Characters>
  <Application>Microsoft Office Word</Application>
  <DocSecurity>0</DocSecurity>
  <Lines>15</Lines>
  <Paragraphs>4</Paragraphs>
  <ScaleCrop>false</ScaleCrop>
  <Company>BUSINESSPC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Mitchell</dc:creator>
  <cp:keywords/>
  <dc:description/>
  <cp:lastModifiedBy>Sarah Mitchell</cp:lastModifiedBy>
  <cp:revision>2</cp:revision>
  <dcterms:created xsi:type="dcterms:W3CDTF">2010-08-12T13:42:00Z</dcterms:created>
  <dcterms:modified xsi:type="dcterms:W3CDTF">2010-08-16T14:56:00Z</dcterms:modified>
</cp:coreProperties>
</file>